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2"/>
          <w:lang w:val="en-US" w:eastAsia="zh-CN" w:bidi="ar-SA"/>
        </w:rPr>
        <w:id w:val="147470778"/>
        <w:docPartObj>
          <w:docPartGallery w:val="Table of Contents"/>
          <w:docPartUnique/>
        </w:docPartObj>
      </w:sdtPr>
      <w:sdtEndPr>
        <w:rPr>
          <w:rFonts w:ascii="Times New Roman" w:hAnsi="Times New Roman" w:eastAsia="宋体" w:cs="Times New Roman"/>
          <w:b/>
          <w:bCs/>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bookmarkStart w:id="0" w:name="_Toc13273_WPSOffice_Type2"/>
          <w:r>
            <w:rPr>
              <w:rFonts w:ascii="宋体" w:hAnsi="宋体" w:eastAsia="宋体"/>
              <w:sz w:val="21"/>
            </w:rPr>
            <w:t>目录</w:t>
          </w:r>
        </w:p>
        <w:p>
          <w:pPr>
            <w:pStyle w:val="116"/>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sz w:val="28"/>
              <w:szCs w:val="28"/>
            </w:rPr>
            <w:instrText xml:space="preserve"> HYPERLINK \l _Toc3422_WPSOffice_Level1 </w:instrText>
          </w:r>
          <w:r>
            <w:rPr>
              <w:rFonts w:hint="eastAsia" w:asciiTheme="minorEastAsia" w:hAnsiTheme="minorEastAsia" w:eastAsiaTheme="minorEastAsia" w:cstheme="minorEastAsia"/>
              <w:b/>
              <w:bCs/>
              <w:sz w:val="28"/>
              <w:szCs w:val="28"/>
            </w:rPr>
            <w:fldChar w:fldCharType="separate"/>
          </w:r>
          <w:sdt>
            <w:sdtPr>
              <w:rPr>
                <w:rFonts w:hint="eastAsia" w:asciiTheme="minorEastAsia" w:hAnsiTheme="minorEastAsia" w:eastAsiaTheme="minorEastAsia" w:cstheme="minorEastAsia"/>
                <w:b/>
                <w:bCs/>
                <w:sz w:val="28"/>
                <w:szCs w:val="28"/>
                <w:lang w:val="en-US" w:eastAsia="zh-CN" w:bidi="ar-SA"/>
              </w:rPr>
              <w:id w:val="147465844"/>
              <w:placeholder>
                <w:docPart w:val="{999a22ba-e97b-4279-8920-dc5cb629b685}"/>
              </w:placeholder>
            </w:sdtPr>
            <w:sdtEndPr>
              <w:rPr>
                <w:rFonts w:hint="eastAsia" w:asciiTheme="minorEastAsia" w:hAnsiTheme="minorEastAsia" w:eastAsiaTheme="minorEastAsia" w:cstheme="minorEastAsia"/>
                <w:b/>
                <w:bCs/>
                <w:sz w:val="28"/>
                <w:szCs w:val="28"/>
                <w:lang w:val="en-US" w:eastAsia="zh-CN" w:bidi="ar-SA"/>
              </w:rPr>
            </w:sdtEndPr>
            <w:sdtContent>
              <w:r>
                <w:rPr>
                  <w:rFonts w:hint="eastAsia" w:asciiTheme="minorEastAsia" w:hAnsiTheme="minorEastAsia" w:eastAsiaTheme="minorEastAsia" w:cstheme="minorEastAsia"/>
                  <w:b/>
                  <w:bCs/>
                  <w:sz w:val="28"/>
                  <w:szCs w:val="28"/>
                </w:rPr>
                <w:t>第1章  编制说明</w:t>
              </w:r>
            </w:sdtContent>
          </w:sdt>
          <w:r>
            <w:rPr>
              <w:rFonts w:hint="eastAsia" w:asciiTheme="minorEastAsia" w:hAnsiTheme="minorEastAsia" w:eastAsiaTheme="minorEastAsia" w:cstheme="minorEastAsia"/>
              <w:b/>
              <w:bCs/>
              <w:sz w:val="28"/>
              <w:szCs w:val="28"/>
            </w:rPr>
            <w:tab/>
          </w:r>
          <w:bookmarkStart w:id="1" w:name="_Toc3422_WPSOffice_Level1Page"/>
          <w:r>
            <w:rPr>
              <w:rFonts w:hint="eastAsia" w:asciiTheme="minorEastAsia" w:hAnsiTheme="minorEastAsia" w:eastAsiaTheme="minorEastAsia" w:cstheme="minorEastAsia"/>
              <w:b/>
              <w:bCs/>
              <w:sz w:val="28"/>
              <w:szCs w:val="28"/>
            </w:rPr>
            <w:t>1</w:t>
          </w:r>
          <w:bookmarkEnd w:id="1"/>
          <w:r>
            <w:rPr>
              <w:rFonts w:hint="eastAsia" w:asciiTheme="minorEastAsia" w:hAnsiTheme="minorEastAsia" w:eastAsiaTheme="minorEastAsia" w:cstheme="minorEastAsia"/>
              <w:b/>
              <w:bCs/>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_Toc2524_WPSOffice_Level2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80902"/>
              <w:placeholder>
                <w:docPart w:val="{9e1a34fb-4285-47bd-89f9-55874bfdd1e0}"/>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1.1评价目的</w:t>
              </w:r>
            </w:sdtContent>
          </w:sdt>
          <w:r>
            <w:rPr>
              <w:rFonts w:hint="eastAsia" w:asciiTheme="minorEastAsia" w:hAnsiTheme="minorEastAsia" w:eastAsiaTheme="minorEastAsia" w:cstheme="minorEastAsia"/>
              <w:sz w:val="28"/>
              <w:szCs w:val="28"/>
            </w:rPr>
            <w:tab/>
          </w:r>
          <w:bookmarkStart w:id="2" w:name="_Toc2524_WPSOffice_Level2Page"/>
          <w:r>
            <w:rPr>
              <w:rFonts w:hint="eastAsia" w:asciiTheme="minorEastAsia" w:hAnsiTheme="minorEastAsia" w:eastAsiaTheme="minorEastAsia" w:cstheme="minorEastAsia"/>
              <w:sz w:val="28"/>
              <w:szCs w:val="28"/>
            </w:rPr>
            <w:t>1</w:t>
          </w:r>
          <w:bookmarkEnd w:id="2"/>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_Toc21003_WPSOffice_Level2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3465"/>
              <w:placeholder>
                <w:docPart w:val="{26c0d151-55eb-4afe-ac07-35d1c6d7ed34}"/>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1.2评价依据</w:t>
              </w:r>
            </w:sdtContent>
          </w:sdt>
          <w:r>
            <w:rPr>
              <w:rFonts w:hint="eastAsia" w:asciiTheme="minorEastAsia" w:hAnsiTheme="minorEastAsia" w:eastAsiaTheme="minorEastAsia" w:cstheme="minorEastAsia"/>
              <w:sz w:val="28"/>
              <w:szCs w:val="28"/>
            </w:rPr>
            <w:tab/>
          </w:r>
          <w:bookmarkStart w:id="3" w:name="_Toc21003_WPSOffice_Level2Page"/>
          <w:r>
            <w:rPr>
              <w:rFonts w:hint="eastAsia" w:asciiTheme="minorEastAsia" w:hAnsiTheme="minorEastAsia" w:eastAsiaTheme="minorEastAsia" w:cstheme="minorEastAsia"/>
              <w:sz w:val="28"/>
              <w:szCs w:val="28"/>
            </w:rPr>
            <w:t>1</w:t>
          </w:r>
          <w:bookmarkEnd w:id="3"/>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_Toc25610_WPSOffice_Level2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6960"/>
              <w:placeholder>
                <w:docPart w:val="{7b80562b-5179-4e6a-a5bf-0d217b34b662}"/>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1.3评价原则</w:t>
              </w:r>
            </w:sdtContent>
          </w:sdt>
          <w:r>
            <w:rPr>
              <w:rFonts w:hint="eastAsia" w:asciiTheme="minorEastAsia" w:hAnsiTheme="minorEastAsia" w:eastAsiaTheme="minorEastAsia" w:cstheme="minorEastAsia"/>
              <w:sz w:val="28"/>
              <w:szCs w:val="28"/>
            </w:rPr>
            <w:tab/>
          </w:r>
          <w:bookmarkStart w:id="4" w:name="_Toc25610_WPSOffice_Level2Page"/>
          <w:r>
            <w:rPr>
              <w:rFonts w:hint="eastAsia" w:asciiTheme="minorEastAsia" w:hAnsiTheme="minorEastAsia" w:eastAsiaTheme="minorEastAsia" w:cstheme="minorEastAsia"/>
              <w:sz w:val="28"/>
              <w:szCs w:val="28"/>
            </w:rPr>
            <w:t>7</w:t>
          </w:r>
          <w:bookmarkEnd w:id="4"/>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_Toc12445_WPSOffice_Level2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3464"/>
              <w:placeholder>
                <w:docPart w:val="{c53a6d96-d267-4533-93ea-00332c86fe4a}"/>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1.4评价范围</w:t>
              </w:r>
            </w:sdtContent>
          </w:sdt>
          <w:r>
            <w:rPr>
              <w:rFonts w:hint="eastAsia" w:asciiTheme="minorEastAsia" w:hAnsiTheme="minorEastAsia" w:eastAsiaTheme="minorEastAsia" w:cstheme="minorEastAsia"/>
              <w:sz w:val="28"/>
              <w:szCs w:val="28"/>
            </w:rPr>
            <w:tab/>
          </w:r>
          <w:bookmarkStart w:id="5" w:name="_Toc12445_WPSOffice_Level2Page"/>
          <w:r>
            <w:rPr>
              <w:rFonts w:hint="eastAsia" w:asciiTheme="minorEastAsia" w:hAnsiTheme="minorEastAsia" w:eastAsiaTheme="minorEastAsia" w:cstheme="minorEastAsia"/>
              <w:sz w:val="28"/>
              <w:szCs w:val="28"/>
            </w:rPr>
            <w:t>8</w:t>
          </w:r>
          <w:bookmarkEnd w:id="5"/>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_Toc15524_WPSOffice_Level2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3900"/>
              <w:placeholder>
                <w:docPart w:val="{dd78e9ae-41c5-424e-98ee-3fe11592d1ad}"/>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1.5评价程序</w:t>
              </w:r>
            </w:sdtContent>
          </w:sdt>
          <w:r>
            <w:rPr>
              <w:rFonts w:hint="eastAsia" w:asciiTheme="minorEastAsia" w:hAnsiTheme="minorEastAsia" w:eastAsiaTheme="minorEastAsia" w:cstheme="minorEastAsia"/>
              <w:sz w:val="28"/>
              <w:szCs w:val="28"/>
            </w:rPr>
            <w:tab/>
          </w:r>
          <w:bookmarkStart w:id="6" w:name="_Toc15524_WPSOffice_Level2Page"/>
          <w:r>
            <w:rPr>
              <w:rFonts w:hint="eastAsia" w:asciiTheme="minorEastAsia" w:hAnsiTheme="minorEastAsia" w:eastAsiaTheme="minorEastAsia" w:cstheme="minorEastAsia"/>
              <w:sz w:val="28"/>
              <w:szCs w:val="28"/>
            </w:rPr>
            <w:t>8</w:t>
          </w:r>
          <w:bookmarkEnd w:id="6"/>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_Toc5883_WPSOffice_Level2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8088"/>
              <w:placeholder>
                <w:docPart w:val="{97693941-3473-4474-9562-553e03051d26}"/>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1.6评价基准日</w:t>
              </w:r>
            </w:sdtContent>
          </w:sdt>
          <w:r>
            <w:rPr>
              <w:rFonts w:hint="eastAsia" w:asciiTheme="minorEastAsia" w:hAnsiTheme="minorEastAsia" w:eastAsiaTheme="minorEastAsia" w:cstheme="minorEastAsia"/>
              <w:sz w:val="28"/>
              <w:szCs w:val="28"/>
            </w:rPr>
            <w:tab/>
          </w:r>
          <w:bookmarkStart w:id="7" w:name="_Toc5883_WPSOffice_Level2Page"/>
          <w:r>
            <w:rPr>
              <w:rFonts w:hint="eastAsia" w:asciiTheme="minorEastAsia" w:hAnsiTheme="minorEastAsia" w:eastAsiaTheme="minorEastAsia" w:cstheme="minorEastAsia"/>
              <w:sz w:val="28"/>
              <w:szCs w:val="28"/>
            </w:rPr>
            <w:t>9</w:t>
          </w:r>
          <w:bookmarkEnd w:id="7"/>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_Toc20898_WPSOffice_Level2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1706"/>
              <w:placeholder>
                <w:docPart w:val="{164d2be3-73fb-4821-8064-3f7a3d948144}"/>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1.7 评价报告使用权声明</w:t>
              </w:r>
            </w:sdtContent>
          </w:sdt>
          <w:r>
            <w:rPr>
              <w:rFonts w:hint="eastAsia" w:asciiTheme="minorEastAsia" w:hAnsiTheme="minorEastAsia" w:eastAsiaTheme="minorEastAsia" w:cstheme="minorEastAsia"/>
              <w:sz w:val="28"/>
              <w:szCs w:val="28"/>
            </w:rPr>
            <w:tab/>
          </w:r>
          <w:bookmarkStart w:id="8" w:name="_Toc20898_WPSOffice_Level2Page"/>
          <w:r>
            <w:rPr>
              <w:rFonts w:hint="eastAsia" w:asciiTheme="minorEastAsia" w:hAnsiTheme="minorEastAsia" w:eastAsiaTheme="minorEastAsia" w:cstheme="minorEastAsia"/>
              <w:sz w:val="28"/>
              <w:szCs w:val="28"/>
            </w:rPr>
            <w:t>9</w:t>
          </w:r>
          <w:bookmarkEnd w:id="8"/>
          <w:r>
            <w:rPr>
              <w:rFonts w:hint="eastAsia" w:asciiTheme="minorEastAsia" w:hAnsiTheme="minorEastAsia" w:eastAsiaTheme="minorEastAsia" w:cstheme="minorEastAsia"/>
              <w:sz w:val="28"/>
              <w:szCs w:val="28"/>
            </w:rPr>
            <w:fldChar w:fldCharType="end"/>
          </w:r>
        </w:p>
        <w:p>
          <w:pPr>
            <w:pStyle w:val="116"/>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sz w:val="28"/>
              <w:szCs w:val="28"/>
            </w:rPr>
            <w:instrText xml:space="preserve"> HYPERLINK \l _Toc2524_WPSOffice_Level1 </w:instrText>
          </w:r>
          <w:r>
            <w:rPr>
              <w:rFonts w:hint="eastAsia" w:asciiTheme="minorEastAsia" w:hAnsiTheme="minorEastAsia" w:eastAsiaTheme="minorEastAsia" w:cstheme="minorEastAsia"/>
              <w:b/>
              <w:bCs/>
              <w:sz w:val="28"/>
              <w:szCs w:val="28"/>
            </w:rPr>
            <w:fldChar w:fldCharType="separate"/>
          </w:r>
          <w:sdt>
            <w:sdtPr>
              <w:rPr>
                <w:rFonts w:hint="eastAsia" w:asciiTheme="minorEastAsia" w:hAnsiTheme="minorEastAsia" w:eastAsiaTheme="minorEastAsia" w:cstheme="minorEastAsia"/>
                <w:b/>
                <w:bCs/>
                <w:sz w:val="28"/>
                <w:szCs w:val="28"/>
                <w:lang w:val="en-US" w:eastAsia="zh-CN" w:bidi="ar-SA"/>
              </w:rPr>
              <w:id w:val="147469602"/>
              <w:placeholder>
                <w:docPart w:val="{0d58a21b-b661-4beb-8623-1e7798f57d41}"/>
              </w:placeholder>
            </w:sdtPr>
            <w:sdtEndPr>
              <w:rPr>
                <w:rFonts w:hint="eastAsia" w:asciiTheme="minorEastAsia" w:hAnsiTheme="minorEastAsia" w:eastAsiaTheme="minorEastAsia" w:cstheme="minorEastAsia"/>
                <w:b/>
                <w:bCs/>
                <w:sz w:val="28"/>
                <w:szCs w:val="28"/>
                <w:lang w:val="en-US" w:eastAsia="zh-CN" w:bidi="ar-SA"/>
              </w:rPr>
            </w:sdtEndPr>
            <w:sdtContent>
              <w:r>
                <w:rPr>
                  <w:rFonts w:hint="eastAsia" w:asciiTheme="minorEastAsia" w:hAnsiTheme="minorEastAsia" w:eastAsiaTheme="minorEastAsia" w:cstheme="minorEastAsia"/>
                  <w:b/>
                  <w:bCs/>
                  <w:sz w:val="28"/>
                  <w:szCs w:val="28"/>
                </w:rPr>
                <w:t>第2章 评价项目概况</w:t>
              </w:r>
            </w:sdtContent>
          </w:sdt>
          <w:r>
            <w:rPr>
              <w:rFonts w:hint="eastAsia" w:asciiTheme="minorEastAsia" w:hAnsiTheme="minorEastAsia" w:eastAsiaTheme="minorEastAsia" w:cstheme="minorEastAsia"/>
              <w:b/>
              <w:bCs/>
              <w:sz w:val="28"/>
              <w:szCs w:val="28"/>
            </w:rPr>
            <w:tab/>
          </w:r>
          <w:bookmarkStart w:id="9" w:name="_Toc2524_WPSOffice_Level1Page"/>
          <w:r>
            <w:rPr>
              <w:rFonts w:hint="eastAsia" w:asciiTheme="minorEastAsia" w:hAnsiTheme="minorEastAsia" w:eastAsiaTheme="minorEastAsia" w:cstheme="minorEastAsia"/>
              <w:b/>
              <w:bCs/>
              <w:sz w:val="28"/>
              <w:szCs w:val="28"/>
            </w:rPr>
            <w:t>11</w:t>
          </w:r>
          <w:bookmarkEnd w:id="9"/>
          <w:r>
            <w:rPr>
              <w:rFonts w:hint="eastAsia" w:asciiTheme="minorEastAsia" w:hAnsiTheme="minorEastAsia" w:eastAsiaTheme="minorEastAsia" w:cstheme="minorEastAsia"/>
              <w:b/>
              <w:bCs/>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_Toc13789_WPSOffice_Level2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7998"/>
              <w:placeholder>
                <w:docPart w:val="{df50d24c-af9b-48e6-a2e9-a7a05bb38fc4}"/>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2.1企业概况</w:t>
              </w:r>
            </w:sdtContent>
          </w:sdt>
          <w:r>
            <w:rPr>
              <w:rFonts w:hint="eastAsia" w:asciiTheme="minorEastAsia" w:hAnsiTheme="minorEastAsia" w:eastAsiaTheme="minorEastAsia" w:cstheme="minorEastAsia"/>
              <w:sz w:val="28"/>
              <w:szCs w:val="28"/>
            </w:rPr>
            <w:tab/>
          </w:r>
          <w:bookmarkStart w:id="10" w:name="_Toc13789_WPSOffice_Level2Page"/>
          <w:r>
            <w:rPr>
              <w:rFonts w:hint="eastAsia" w:asciiTheme="minorEastAsia" w:hAnsiTheme="minorEastAsia" w:eastAsiaTheme="minorEastAsia" w:cstheme="minorEastAsia"/>
              <w:sz w:val="28"/>
              <w:szCs w:val="28"/>
            </w:rPr>
            <w:t>11</w:t>
          </w:r>
          <w:bookmarkEnd w:id="10"/>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_Toc14603_WPSOffice_Level2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2401"/>
              <w:placeholder>
                <w:docPart w:val="{d1e65922-d6ed-42f7-8f9f-e60479de7fdd}"/>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2.2项目概况</w:t>
              </w:r>
            </w:sdtContent>
          </w:sdt>
          <w:r>
            <w:rPr>
              <w:rFonts w:hint="eastAsia" w:asciiTheme="minorEastAsia" w:hAnsiTheme="minorEastAsia" w:eastAsiaTheme="minorEastAsia" w:cstheme="minorEastAsia"/>
              <w:sz w:val="28"/>
              <w:szCs w:val="28"/>
            </w:rPr>
            <w:tab/>
          </w:r>
          <w:bookmarkStart w:id="11" w:name="_Toc14603_WPSOffice_Level2Page"/>
          <w:r>
            <w:rPr>
              <w:rFonts w:hint="eastAsia" w:asciiTheme="minorEastAsia" w:hAnsiTheme="minorEastAsia" w:eastAsiaTheme="minorEastAsia" w:cstheme="minorEastAsia"/>
              <w:sz w:val="28"/>
              <w:szCs w:val="28"/>
            </w:rPr>
            <w:t>12</w:t>
          </w:r>
          <w:bookmarkEnd w:id="11"/>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_Toc6802_WPSOffice_Level2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7142"/>
              <w:placeholder>
                <w:docPart w:val="{67284868-b475-4f4a-a386-4cf2f73cfd06}"/>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2.3自然条件</w:t>
              </w:r>
            </w:sdtContent>
          </w:sdt>
          <w:r>
            <w:rPr>
              <w:rFonts w:hint="eastAsia" w:asciiTheme="minorEastAsia" w:hAnsiTheme="minorEastAsia" w:eastAsiaTheme="minorEastAsia" w:cstheme="minorEastAsia"/>
              <w:sz w:val="28"/>
              <w:szCs w:val="28"/>
            </w:rPr>
            <w:tab/>
          </w:r>
          <w:bookmarkStart w:id="12" w:name="_Toc6802_WPSOffice_Level2Page"/>
          <w:r>
            <w:rPr>
              <w:rFonts w:hint="eastAsia" w:asciiTheme="minorEastAsia" w:hAnsiTheme="minorEastAsia" w:eastAsiaTheme="minorEastAsia" w:cstheme="minorEastAsia"/>
              <w:sz w:val="28"/>
              <w:szCs w:val="28"/>
            </w:rPr>
            <w:t>15</w:t>
          </w:r>
          <w:bookmarkEnd w:id="12"/>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_Toc1204_WPSOffice_Level2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5293"/>
              <w:placeholder>
                <w:docPart w:val="{aabf606f-92d4-4035-bb5a-7b0e77f80ada}"/>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2.3总图运输</w:t>
              </w:r>
            </w:sdtContent>
          </w:sdt>
          <w:r>
            <w:rPr>
              <w:rFonts w:hint="eastAsia" w:asciiTheme="minorEastAsia" w:hAnsiTheme="minorEastAsia" w:eastAsiaTheme="minorEastAsia" w:cstheme="minorEastAsia"/>
              <w:sz w:val="28"/>
              <w:szCs w:val="28"/>
            </w:rPr>
            <w:tab/>
          </w:r>
          <w:bookmarkStart w:id="13" w:name="_Toc1204_WPSOffice_Level2Page"/>
          <w:r>
            <w:rPr>
              <w:rFonts w:hint="eastAsia" w:asciiTheme="minorEastAsia" w:hAnsiTheme="minorEastAsia" w:eastAsiaTheme="minorEastAsia" w:cstheme="minorEastAsia"/>
              <w:sz w:val="28"/>
              <w:szCs w:val="28"/>
            </w:rPr>
            <w:t>16</w:t>
          </w:r>
          <w:bookmarkEnd w:id="13"/>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_Toc27227_WPSOffice_Level2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2502"/>
              <w:placeholder>
                <w:docPart w:val="{df9a697c-6229-4d4c-9e20-011f01093a61}"/>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2.4原辅料及产品</w:t>
              </w:r>
            </w:sdtContent>
          </w:sdt>
          <w:r>
            <w:rPr>
              <w:rFonts w:hint="eastAsia" w:asciiTheme="minorEastAsia" w:hAnsiTheme="minorEastAsia" w:eastAsiaTheme="minorEastAsia" w:cstheme="minorEastAsia"/>
              <w:sz w:val="28"/>
              <w:szCs w:val="28"/>
            </w:rPr>
            <w:tab/>
          </w:r>
          <w:bookmarkStart w:id="14" w:name="_Toc27227_WPSOffice_Level2Page"/>
          <w:r>
            <w:rPr>
              <w:rFonts w:hint="eastAsia" w:asciiTheme="minorEastAsia" w:hAnsiTheme="minorEastAsia" w:eastAsiaTheme="minorEastAsia" w:cstheme="minorEastAsia"/>
              <w:sz w:val="28"/>
              <w:szCs w:val="28"/>
            </w:rPr>
            <w:t>18</w:t>
          </w:r>
          <w:bookmarkEnd w:id="14"/>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_Toc7343_WPSOffice_Level2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82705"/>
              <w:placeholder>
                <w:docPart w:val="{fb82c5af-ea28-463c-ac57-c0416cd343ee}"/>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2.5工艺简介</w:t>
              </w:r>
            </w:sdtContent>
          </w:sdt>
          <w:r>
            <w:rPr>
              <w:rFonts w:hint="eastAsia" w:asciiTheme="minorEastAsia" w:hAnsiTheme="minorEastAsia" w:eastAsiaTheme="minorEastAsia" w:cstheme="minorEastAsia"/>
              <w:sz w:val="28"/>
              <w:szCs w:val="28"/>
            </w:rPr>
            <w:tab/>
          </w:r>
          <w:bookmarkStart w:id="15" w:name="_Toc7343_WPSOffice_Level2Page"/>
          <w:r>
            <w:rPr>
              <w:rFonts w:hint="eastAsia" w:asciiTheme="minorEastAsia" w:hAnsiTheme="minorEastAsia" w:eastAsiaTheme="minorEastAsia" w:cstheme="minorEastAsia"/>
              <w:sz w:val="28"/>
              <w:szCs w:val="28"/>
            </w:rPr>
            <w:t>18</w:t>
          </w:r>
          <w:bookmarkEnd w:id="15"/>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_Toc11658_WPSOffice_Level2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5307"/>
              <w:placeholder>
                <w:docPart w:val="{b937a903-ed5b-4d20-9e19-a6952c5a2c89}"/>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2.6 主要设备、设施及建（构）筑物</w:t>
              </w:r>
            </w:sdtContent>
          </w:sdt>
          <w:r>
            <w:rPr>
              <w:rFonts w:hint="eastAsia" w:asciiTheme="minorEastAsia" w:hAnsiTheme="minorEastAsia" w:eastAsiaTheme="minorEastAsia" w:cstheme="minorEastAsia"/>
              <w:sz w:val="28"/>
              <w:szCs w:val="28"/>
            </w:rPr>
            <w:tab/>
          </w:r>
          <w:bookmarkStart w:id="16" w:name="_Toc11658_WPSOffice_Level2Page"/>
          <w:r>
            <w:rPr>
              <w:rFonts w:hint="eastAsia" w:asciiTheme="minorEastAsia" w:hAnsiTheme="minorEastAsia" w:eastAsiaTheme="minorEastAsia" w:cstheme="minorEastAsia"/>
              <w:sz w:val="28"/>
              <w:szCs w:val="28"/>
            </w:rPr>
            <w:t>19</w:t>
          </w:r>
          <w:bookmarkEnd w:id="16"/>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_Toc20071_WPSOffice_Level2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3502"/>
              <w:placeholder>
                <w:docPart w:val="{b698042f-33ee-4bd5-9926-45c62f1fd62f}"/>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2.7 公用工程及辅助设施</w:t>
              </w:r>
            </w:sdtContent>
          </w:sdt>
          <w:r>
            <w:rPr>
              <w:rFonts w:hint="eastAsia" w:asciiTheme="minorEastAsia" w:hAnsiTheme="minorEastAsia" w:eastAsiaTheme="minorEastAsia" w:cstheme="minorEastAsia"/>
              <w:sz w:val="28"/>
              <w:szCs w:val="28"/>
            </w:rPr>
            <w:tab/>
          </w:r>
          <w:bookmarkStart w:id="17" w:name="_Toc20071_WPSOffice_Level2Page"/>
          <w:r>
            <w:rPr>
              <w:rFonts w:hint="eastAsia" w:asciiTheme="minorEastAsia" w:hAnsiTheme="minorEastAsia" w:eastAsiaTheme="minorEastAsia" w:cstheme="minorEastAsia"/>
              <w:sz w:val="28"/>
              <w:szCs w:val="28"/>
            </w:rPr>
            <w:t>21</w:t>
          </w:r>
          <w:bookmarkEnd w:id="17"/>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_Toc20662_WPSOffice_Level2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5314"/>
              <w:placeholder>
                <w:docPart w:val="{0acec32c-52e7-4a18-a9d3-3d4f033b6663}"/>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2.8安全设施、措施</w:t>
              </w:r>
            </w:sdtContent>
          </w:sdt>
          <w:r>
            <w:rPr>
              <w:rFonts w:hint="eastAsia" w:asciiTheme="minorEastAsia" w:hAnsiTheme="minorEastAsia" w:eastAsiaTheme="minorEastAsia" w:cstheme="minorEastAsia"/>
              <w:sz w:val="28"/>
              <w:szCs w:val="28"/>
            </w:rPr>
            <w:tab/>
          </w:r>
          <w:bookmarkStart w:id="18" w:name="_Toc20662_WPSOffice_Level2Page"/>
          <w:r>
            <w:rPr>
              <w:rFonts w:hint="eastAsia" w:asciiTheme="minorEastAsia" w:hAnsiTheme="minorEastAsia" w:eastAsiaTheme="minorEastAsia" w:cstheme="minorEastAsia"/>
              <w:sz w:val="28"/>
              <w:szCs w:val="28"/>
            </w:rPr>
            <w:t>22</w:t>
          </w:r>
          <w:bookmarkEnd w:id="18"/>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_Toc15751_WPSOffice_Level2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7891"/>
              <w:placeholder>
                <w:docPart w:val="{1f16ca7b-290b-4562-b61e-29186be1340b}"/>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2.9安全管理</w:t>
              </w:r>
            </w:sdtContent>
          </w:sdt>
          <w:r>
            <w:rPr>
              <w:rFonts w:hint="eastAsia" w:asciiTheme="minorEastAsia" w:hAnsiTheme="minorEastAsia" w:eastAsiaTheme="minorEastAsia" w:cstheme="minorEastAsia"/>
              <w:sz w:val="28"/>
              <w:szCs w:val="28"/>
            </w:rPr>
            <w:tab/>
          </w:r>
          <w:bookmarkStart w:id="19" w:name="_Toc15751_WPSOffice_Level2Page"/>
          <w:r>
            <w:rPr>
              <w:rFonts w:hint="eastAsia" w:asciiTheme="minorEastAsia" w:hAnsiTheme="minorEastAsia" w:eastAsiaTheme="minorEastAsia" w:cstheme="minorEastAsia"/>
              <w:sz w:val="28"/>
              <w:szCs w:val="28"/>
            </w:rPr>
            <w:t>25</w:t>
          </w:r>
          <w:bookmarkEnd w:id="19"/>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_Toc29833_WPSOffice_Level2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6617"/>
              <w:placeholder>
                <w:docPart w:val="{1b54094c-430b-4347-87b8-7e8f69b7503b}"/>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2.10取证以来安全经营条件变化情况</w:t>
              </w:r>
            </w:sdtContent>
          </w:sdt>
          <w:r>
            <w:rPr>
              <w:rFonts w:hint="eastAsia" w:asciiTheme="minorEastAsia" w:hAnsiTheme="minorEastAsia" w:eastAsiaTheme="minorEastAsia" w:cstheme="minorEastAsia"/>
              <w:sz w:val="28"/>
              <w:szCs w:val="28"/>
            </w:rPr>
            <w:tab/>
          </w:r>
          <w:bookmarkStart w:id="20" w:name="_Toc29833_WPSOffice_Level2Page"/>
          <w:r>
            <w:rPr>
              <w:rFonts w:hint="eastAsia" w:asciiTheme="minorEastAsia" w:hAnsiTheme="minorEastAsia" w:eastAsiaTheme="minorEastAsia" w:cstheme="minorEastAsia"/>
              <w:sz w:val="28"/>
              <w:szCs w:val="28"/>
            </w:rPr>
            <w:t>27</w:t>
          </w:r>
          <w:bookmarkEnd w:id="20"/>
          <w:r>
            <w:rPr>
              <w:rFonts w:hint="eastAsia" w:asciiTheme="minorEastAsia" w:hAnsiTheme="minorEastAsia" w:eastAsiaTheme="minorEastAsia" w:cstheme="minorEastAsia"/>
              <w:sz w:val="28"/>
              <w:szCs w:val="28"/>
            </w:rPr>
            <w:fldChar w:fldCharType="end"/>
          </w:r>
        </w:p>
        <w:p>
          <w:pPr>
            <w:pStyle w:val="116"/>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sz w:val="28"/>
              <w:szCs w:val="28"/>
            </w:rPr>
            <w:instrText xml:space="preserve"> HYPERLINK \l _Toc21003_WPSOffice_Level1 </w:instrText>
          </w:r>
          <w:r>
            <w:rPr>
              <w:rFonts w:hint="eastAsia" w:asciiTheme="minorEastAsia" w:hAnsiTheme="minorEastAsia" w:eastAsiaTheme="minorEastAsia" w:cstheme="minorEastAsia"/>
              <w:b/>
              <w:bCs/>
              <w:sz w:val="28"/>
              <w:szCs w:val="28"/>
            </w:rPr>
            <w:fldChar w:fldCharType="separate"/>
          </w:r>
          <w:sdt>
            <w:sdtPr>
              <w:rPr>
                <w:rFonts w:hint="eastAsia" w:asciiTheme="minorEastAsia" w:hAnsiTheme="minorEastAsia" w:eastAsiaTheme="minorEastAsia" w:cstheme="minorEastAsia"/>
                <w:b/>
                <w:bCs/>
                <w:sz w:val="28"/>
                <w:szCs w:val="28"/>
                <w:lang w:val="en-US" w:eastAsia="zh-CN" w:bidi="ar-SA"/>
              </w:rPr>
              <w:id w:val="147465512"/>
              <w:placeholder>
                <w:docPart w:val="{17a1a929-0eb2-4b16-935f-ef218aa0f370}"/>
              </w:placeholder>
            </w:sdtPr>
            <w:sdtEndPr>
              <w:rPr>
                <w:rFonts w:hint="eastAsia" w:asciiTheme="minorEastAsia" w:hAnsiTheme="minorEastAsia" w:eastAsiaTheme="minorEastAsia" w:cstheme="minorEastAsia"/>
                <w:b/>
                <w:bCs/>
                <w:sz w:val="28"/>
                <w:szCs w:val="28"/>
                <w:lang w:val="en-US" w:eastAsia="zh-CN" w:bidi="ar-SA"/>
              </w:rPr>
            </w:sdtEndPr>
            <w:sdtContent>
              <w:r>
                <w:rPr>
                  <w:rFonts w:hint="eastAsia" w:asciiTheme="minorEastAsia" w:hAnsiTheme="minorEastAsia" w:eastAsiaTheme="minorEastAsia" w:cstheme="minorEastAsia"/>
                  <w:b/>
                  <w:bCs/>
                  <w:sz w:val="28"/>
                  <w:szCs w:val="28"/>
                </w:rPr>
                <w:t>第3章 主要危险、有害因素辨识与分析</w:t>
              </w:r>
            </w:sdtContent>
          </w:sdt>
          <w:r>
            <w:rPr>
              <w:rFonts w:hint="eastAsia" w:asciiTheme="minorEastAsia" w:hAnsiTheme="minorEastAsia" w:eastAsiaTheme="minorEastAsia" w:cstheme="minorEastAsia"/>
              <w:b/>
              <w:bCs/>
              <w:sz w:val="28"/>
              <w:szCs w:val="28"/>
            </w:rPr>
            <w:tab/>
          </w:r>
          <w:bookmarkStart w:id="21" w:name="_Toc21003_WPSOffice_Level1Page"/>
          <w:r>
            <w:rPr>
              <w:rFonts w:hint="eastAsia" w:asciiTheme="minorEastAsia" w:hAnsiTheme="minorEastAsia" w:eastAsiaTheme="minorEastAsia" w:cstheme="minorEastAsia"/>
              <w:b/>
              <w:bCs/>
              <w:sz w:val="28"/>
              <w:szCs w:val="28"/>
            </w:rPr>
            <w:t>29</w:t>
          </w:r>
          <w:bookmarkEnd w:id="21"/>
          <w:r>
            <w:rPr>
              <w:rFonts w:hint="eastAsia" w:asciiTheme="minorEastAsia" w:hAnsiTheme="minorEastAsia" w:eastAsiaTheme="minorEastAsia" w:cstheme="minorEastAsia"/>
              <w:b/>
              <w:bCs/>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_Toc3349_WPSOffice_Level2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81561"/>
              <w:placeholder>
                <w:docPart w:val="{641e9d3e-15e4-44ef-8716-5f585dab84a0}"/>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3.1辨识与分析的目的</w:t>
              </w:r>
            </w:sdtContent>
          </w:sdt>
          <w:r>
            <w:rPr>
              <w:rFonts w:hint="eastAsia" w:asciiTheme="minorEastAsia" w:hAnsiTheme="minorEastAsia" w:eastAsiaTheme="minorEastAsia" w:cstheme="minorEastAsia"/>
              <w:sz w:val="28"/>
              <w:szCs w:val="28"/>
            </w:rPr>
            <w:tab/>
          </w:r>
          <w:bookmarkStart w:id="22" w:name="_Toc3349_WPSOffice_Level2Page"/>
          <w:r>
            <w:rPr>
              <w:rFonts w:hint="eastAsia" w:asciiTheme="minorEastAsia" w:hAnsiTheme="minorEastAsia" w:eastAsiaTheme="minorEastAsia" w:cstheme="minorEastAsia"/>
              <w:sz w:val="28"/>
              <w:szCs w:val="28"/>
            </w:rPr>
            <w:t>29</w:t>
          </w:r>
          <w:bookmarkEnd w:id="22"/>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_Toc10474_WPSOffice_Level2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5841"/>
              <w:placeholder>
                <w:docPart w:val="{6683fd3a-80ef-4587-bc5c-c31fbb58f1f5}"/>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3.2辨识与分析的方法</w:t>
              </w:r>
            </w:sdtContent>
          </w:sdt>
          <w:r>
            <w:rPr>
              <w:rFonts w:hint="eastAsia" w:asciiTheme="minorEastAsia" w:hAnsiTheme="minorEastAsia" w:eastAsiaTheme="minorEastAsia" w:cstheme="minorEastAsia"/>
              <w:sz w:val="28"/>
              <w:szCs w:val="28"/>
            </w:rPr>
            <w:tab/>
          </w:r>
          <w:bookmarkStart w:id="23" w:name="_Toc10474_WPSOffice_Level2Page"/>
          <w:r>
            <w:rPr>
              <w:rFonts w:hint="eastAsia" w:asciiTheme="minorEastAsia" w:hAnsiTheme="minorEastAsia" w:eastAsiaTheme="minorEastAsia" w:cstheme="minorEastAsia"/>
              <w:sz w:val="28"/>
              <w:szCs w:val="28"/>
            </w:rPr>
            <w:t>29</w:t>
          </w:r>
          <w:bookmarkEnd w:id="23"/>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_Toc13273_WPSOffice_Level2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5420"/>
              <w:placeholder>
                <w:docPart w:val="{c9ec67fc-9c4c-405c-9085-5ade7713463f}"/>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3.3危险、有害因素产生的原因</w:t>
              </w:r>
            </w:sdtContent>
          </w:sdt>
          <w:r>
            <w:rPr>
              <w:rFonts w:hint="eastAsia" w:asciiTheme="minorEastAsia" w:hAnsiTheme="minorEastAsia" w:eastAsiaTheme="minorEastAsia" w:cstheme="minorEastAsia"/>
              <w:sz w:val="28"/>
              <w:szCs w:val="28"/>
            </w:rPr>
            <w:tab/>
          </w:r>
          <w:bookmarkStart w:id="24" w:name="_Toc13273_WPSOffice_Level2Page"/>
          <w:r>
            <w:rPr>
              <w:rFonts w:hint="eastAsia" w:asciiTheme="minorEastAsia" w:hAnsiTheme="minorEastAsia" w:eastAsiaTheme="minorEastAsia" w:cstheme="minorEastAsia"/>
              <w:sz w:val="28"/>
              <w:szCs w:val="28"/>
            </w:rPr>
            <w:t>30</w:t>
          </w:r>
          <w:bookmarkEnd w:id="24"/>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_Toc6099_WPSOffice_Level2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1265"/>
              <w:placeholder>
                <w:docPart w:val="{ac10cc88-b409-4eb5-a844-c796ec5ae73a}"/>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3.4主要危险、有害物质辨识</w:t>
              </w:r>
            </w:sdtContent>
          </w:sdt>
          <w:r>
            <w:rPr>
              <w:rFonts w:hint="eastAsia" w:asciiTheme="minorEastAsia" w:hAnsiTheme="minorEastAsia" w:eastAsiaTheme="minorEastAsia" w:cstheme="minorEastAsia"/>
              <w:sz w:val="28"/>
              <w:szCs w:val="28"/>
            </w:rPr>
            <w:tab/>
          </w:r>
          <w:bookmarkStart w:id="25" w:name="_Toc6099_WPSOffice_Level2Page"/>
          <w:r>
            <w:rPr>
              <w:rFonts w:hint="eastAsia" w:asciiTheme="minorEastAsia" w:hAnsiTheme="minorEastAsia" w:eastAsiaTheme="minorEastAsia" w:cstheme="minorEastAsia"/>
              <w:sz w:val="28"/>
              <w:szCs w:val="28"/>
            </w:rPr>
            <w:t>31</w:t>
          </w:r>
          <w:bookmarkEnd w:id="25"/>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_Toc16905_WPSOffice_Level2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4133"/>
              <w:placeholder>
                <w:docPart w:val="{082c66a0-be07-42f5-b5b8-bc97a58fdfff}"/>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3.5主要危险、有害因素分析</w:t>
              </w:r>
            </w:sdtContent>
          </w:sdt>
          <w:r>
            <w:rPr>
              <w:rFonts w:hint="eastAsia" w:asciiTheme="minorEastAsia" w:hAnsiTheme="minorEastAsia" w:eastAsiaTheme="minorEastAsia" w:cstheme="minorEastAsia"/>
              <w:sz w:val="28"/>
              <w:szCs w:val="28"/>
            </w:rPr>
            <w:tab/>
          </w:r>
          <w:bookmarkStart w:id="26" w:name="_Toc16905_WPSOffice_Level2Page"/>
          <w:r>
            <w:rPr>
              <w:rFonts w:hint="eastAsia" w:asciiTheme="minorEastAsia" w:hAnsiTheme="minorEastAsia" w:eastAsiaTheme="minorEastAsia" w:cstheme="minorEastAsia"/>
              <w:sz w:val="28"/>
              <w:szCs w:val="28"/>
            </w:rPr>
            <w:t>35</w:t>
          </w:r>
          <w:bookmarkEnd w:id="26"/>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_Toc22759_WPSOffice_Level2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6702"/>
              <w:placeholder>
                <w:docPart w:val="{b9aee985-835c-4563-8ddd-65d60a9f9472}"/>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3.6爆炸危险区划分</w:t>
              </w:r>
            </w:sdtContent>
          </w:sdt>
          <w:r>
            <w:rPr>
              <w:rFonts w:hint="eastAsia" w:asciiTheme="minorEastAsia" w:hAnsiTheme="minorEastAsia" w:eastAsiaTheme="minorEastAsia" w:cstheme="minorEastAsia"/>
              <w:sz w:val="28"/>
              <w:szCs w:val="28"/>
            </w:rPr>
            <w:tab/>
          </w:r>
          <w:bookmarkStart w:id="27" w:name="_Toc22759_WPSOffice_Level2Page"/>
          <w:r>
            <w:rPr>
              <w:rFonts w:hint="eastAsia" w:asciiTheme="minorEastAsia" w:hAnsiTheme="minorEastAsia" w:eastAsiaTheme="minorEastAsia" w:cstheme="minorEastAsia"/>
              <w:sz w:val="28"/>
              <w:szCs w:val="28"/>
            </w:rPr>
            <w:t>53</w:t>
          </w:r>
          <w:bookmarkEnd w:id="27"/>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_Toc19451_WPSOffice_Level2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1494"/>
              <w:placeholder>
                <w:docPart w:val="{9f7ec017-637a-452b-ba39-5c5edd5caa0e}"/>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3.7主要危险、有害因素汇总</w:t>
              </w:r>
            </w:sdtContent>
          </w:sdt>
          <w:r>
            <w:rPr>
              <w:rFonts w:hint="eastAsia" w:asciiTheme="minorEastAsia" w:hAnsiTheme="minorEastAsia" w:eastAsiaTheme="minorEastAsia" w:cstheme="minorEastAsia"/>
              <w:sz w:val="28"/>
              <w:szCs w:val="28"/>
            </w:rPr>
            <w:tab/>
          </w:r>
          <w:bookmarkStart w:id="28" w:name="_Toc19451_WPSOffice_Level2Page"/>
          <w:r>
            <w:rPr>
              <w:rFonts w:hint="eastAsia" w:asciiTheme="minorEastAsia" w:hAnsiTheme="minorEastAsia" w:eastAsiaTheme="minorEastAsia" w:cstheme="minorEastAsia"/>
              <w:sz w:val="28"/>
              <w:szCs w:val="28"/>
            </w:rPr>
            <w:t>54</w:t>
          </w:r>
          <w:bookmarkEnd w:id="28"/>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_Toc8995_WPSOffice_Level2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3493"/>
              <w:placeholder>
                <w:docPart w:val="{fb6392b1-3530-499e-810e-01f5f660e174}"/>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3.8危险化学品重大危险源辨识</w:t>
              </w:r>
            </w:sdtContent>
          </w:sdt>
          <w:r>
            <w:rPr>
              <w:rFonts w:hint="eastAsia" w:asciiTheme="minorEastAsia" w:hAnsiTheme="minorEastAsia" w:eastAsiaTheme="minorEastAsia" w:cstheme="minorEastAsia"/>
              <w:sz w:val="28"/>
              <w:szCs w:val="28"/>
            </w:rPr>
            <w:tab/>
          </w:r>
          <w:bookmarkStart w:id="29" w:name="_Toc8995_WPSOffice_Level2Page"/>
          <w:r>
            <w:rPr>
              <w:rFonts w:hint="eastAsia" w:asciiTheme="minorEastAsia" w:hAnsiTheme="minorEastAsia" w:eastAsiaTheme="minorEastAsia" w:cstheme="minorEastAsia"/>
              <w:sz w:val="28"/>
              <w:szCs w:val="28"/>
            </w:rPr>
            <w:t>54</w:t>
          </w:r>
          <w:bookmarkEnd w:id="29"/>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_Toc17971_WPSOffice_Level2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8051"/>
              <w:placeholder>
                <w:docPart w:val="{5f0308c8-94d2-4b41-9685-3a493aac1cc8}"/>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3.9事故案例分析</w:t>
              </w:r>
            </w:sdtContent>
          </w:sdt>
          <w:r>
            <w:rPr>
              <w:rFonts w:hint="eastAsia" w:asciiTheme="minorEastAsia" w:hAnsiTheme="minorEastAsia" w:eastAsiaTheme="minorEastAsia" w:cstheme="minorEastAsia"/>
              <w:sz w:val="28"/>
              <w:szCs w:val="28"/>
            </w:rPr>
            <w:tab/>
          </w:r>
          <w:bookmarkStart w:id="30" w:name="_Toc17971_WPSOffice_Level2Page"/>
          <w:r>
            <w:rPr>
              <w:rFonts w:hint="eastAsia" w:asciiTheme="minorEastAsia" w:hAnsiTheme="minorEastAsia" w:eastAsiaTheme="minorEastAsia" w:cstheme="minorEastAsia"/>
              <w:sz w:val="28"/>
              <w:szCs w:val="28"/>
            </w:rPr>
            <w:t>56</w:t>
          </w:r>
          <w:bookmarkEnd w:id="30"/>
          <w:r>
            <w:rPr>
              <w:rFonts w:hint="eastAsia" w:asciiTheme="minorEastAsia" w:hAnsiTheme="minorEastAsia" w:eastAsiaTheme="minorEastAsia" w:cstheme="minorEastAsia"/>
              <w:sz w:val="28"/>
              <w:szCs w:val="28"/>
            </w:rPr>
            <w:fldChar w:fldCharType="end"/>
          </w:r>
        </w:p>
        <w:p>
          <w:pPr>
            <w:pStyle w:val="116"/>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sz w:val="28"/>
              <w:szCs w:val="28"/>
            </w:rPr>
            <w:instrText xml:space="preserve"> HYPERLINK \l _Toc13273_WPSOffice_Level1 </w:instrText>
          </w:r>
          <w:r>
            <w:rPr>
              <w:rFonts w:hint="eastAsia" w:asciiTheme="minorEastAsia" w:hAnsiTheme="minorEastAsia" w:eastAsiaTheme="minorEastAsia" w:cstheme="minorEastAsia"/>
              <w:b/>
              <w:bCs/>
              <w:sz w:val="28"/>
              <w:szCs w:val="28"/>
            </w:rPr>
            <w:fldChar w:fldCharType="separate"/>
          </w:r>
          <w:sdt>
            <w:sdtPr>
              <w:rPr>
                <w:rFonts w:hint="eastAsia" w:asciiTheme="minorEastAsia" w:hAnsiTheme="minorEastAsia" w:eastAsiaTheme="minorEastAsia" w:cstheme="minorEastAsia"/>
                <w:b/>
                <w:bCs/>
                <w:sz w:val="28"/>
                <w:szCs w:val="28"/>
                <w:lang w:val="en-US" w:eastAsia="zh-CN" w:bidi="ar-SA"/>
              </w:rPr>
              <w:id w:val="147470232"/>
              <w:placeholder>
                <w:docPart w:val="{ad5bc4e9-070d-412c-810b-f2e0ba23d6c7}"/>
              </w:placeholder>
            </w:sdtPr>
            <w:sdtEndPr>
              <w:rPr>
                <w:rFonts w:hint="eastAsia" w:asciiTheme="minorEastAsia" w:hAnsiTheme="minorEastAsia" w:eastAsiaTheme="minorEastAsia" w:cstheme="minorEastAsia"/>
                <w:b/>
                <w:bCs/>
                <w:sz w:val="28"/>
                <w:szCs w:val="28"/>
                <w:lang w:val="en-US" w:eastAsia="zh-CN" w:bidi="ar-SA"/>
              </w:rPr>
            </w:sdtEndPr>
            <w:sdtContent>
              <w:r>
                <w:rPr>
                  <w:rFonts w:hint="eastAsia" w:asciiTheme="minorEastAsia" w:hAnsiTheme="minorEastAsia" w:eastAsiaTheme="minorEastAsia" w:cstheme="minorEastAsia"/>
                  <w:b/>
                  <w:bCs/>
                  <w:sz w:val="28"/>
                  <w:szCs w:val="28"/>
                </w:rPr>
                <w:t>第4章评价单元的划分和评价方法的选择</w:t>
              </w:r>
            </w:sdtContent>
          </w:sdt>
          <w:r>
            <w:rPr>
              <w:rFonts w:hint="eastAsia" w:asciiTheme="minorEastAsia" w:hAnsiTheme="minorEastAsia" w:eastAsiaTheme="minorEastAsia" w:cstheme="minorEastAsia"/>
              <w:b/>
              <w:bCs/>
              <w:sz w:val="28"/>
              <w:szCs w:val="28"/>
            </w:rPr>
            <w:tab/>
          </w:r>
          <w:bookmarkStart w:id="31" w:name="_Toc13273_WPSOffice_Level1Page"/>
          <w:r>
            <w:rPr>
              <w:rFonts w:hint="eastAsia" w:asciiTheme="minorEastAsia" w:hAnsiTheme="minorEastAsia" w:eastAsiaTheme="minorEastAsia" w:cstheme="minorEastAsia"/>
              <w:b/>
              <w:bCs/>
              <w:sz w:val="28"/>
              <w:szCs w:val="28"/>
            </w:rPr>
            <w:t>60</w:t>
          </w:r>
          <w:bookmarkEnd w:id="31"/>
          <w:r>
            <w:rPr>
              <w:rFonts w:hint="eastAsia" w:asciiTheme="minorEastAsia" w:hAnsiTheme="minorEastAsia" w:eastAsiaTheme="minorEastAsia" w:cstheme="minorEastAsia"/>
              <w:b/>
              <w:bCs/>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_Toc30300_WPSOffice_Level2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7806"/>
              <w:placeholder>
                <w:docPart w:val="{255db29f-0fda-4636-b5a4-6c35088fcac1}"/>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4.1评价单元划分</w:t>
              </w:r>
            </w:sdtContent>
          </w:sdt>
          <w:r>
            <w:rPr>
              <w:rFonts w:hint="eastAsia" w:asciiTheme="minorEastAsia" w:hAnsiTheme="minorEastAsia" w:eastAsiaTheme="minorEastAsia" w:cstheme="minorEastAsia"/>
              <w:sz w:val="28"/>
              <w:szCs w:val="28"/>
            </w:rPr>
            <w:tab/>
          </w:r>
          <w:bookmarkStart w:id="32" w:name="_Toc30300_WPSOffice_Level2Page"/>
          <w:r>
            <w:rPr>
              <w:rFonts w:hint="eastAsia" w:asciiTheme="minorEastAsia" w:hAnsiTheme="minorEastAsia" w:eastAsiaTheme="minorEastAsia" w:cstheme="minorEastAsia"/>
              <w:sz w:val="28"/>
              <w:szCs w:val="28"/>
            </w:rPr>
            <w:t>60</w:t>
          </w:r>
          <w:bookmarkEnd w:id="32"/>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_Toc8455_WPSOffice_Level2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5600"/>
              <w:placeholder>
                <w:docPart w:val="{b4d1dced-0f70-4148-a997-c55d9cb40a11}"/>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4.2评价方法的选择</w:t>
              </w:r>
            </w:sdtContent>
          </w:sdt>
          <w:r>
            <w:rPr>
              <w:rFonts w:hint="eastAsia" w:asciiTheme="minorEastAsia" w:hAnsiTheme="minorEastAsia" w:eastAsiaTheme="minorEastAsia" w:cstheme="minorEastAsia"/>
              <w:sz w:val="28"/>
              <w:szCs w:val="28"/>
            </w:rPr>
            <w:tab/>
          </w:r>
          <w:bookmarkStart w:id="33" w:name="_Toc8455_WPSOffice_Level2Page"/>
          <w:r>
            <w:rPr>
              <w:rFonts w:hint="eastAsia" w:asciiTheme="minorEastAsia" w:hAnsiTheme="minorEastAsia" w:eastAsiaTheme="minorEastAsia" w:cstheme="minorEastAsia"/>
              <w:sz w:val="28"/>
              <w:szCs w:val="28"/>
            </w:rPr>
            <w:t>61</w:t>
          </w:r>
          <w:bookmarkEnd w:id="33"/>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_Toc6654_WPSOffice_Level2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1679"/>
              <w:placeholder>
                <w:docPart w:val="{5b8cac26-60df-470d-86fe-e8f114f66c1b}"/>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4.3安全评价方法简介</w:t>
              </w:r>
            </w:sdtContent>
          </w:sdt>
          <w:r>
            <w:rPr>
              <w:rFonts w:hint="eastAsia" w:asciiTheme="minorEastAsia" w:hAnsiTheme="minorEastAsia" w:eastAsiaTheme="minorEastAsia" w:cstheme="minorEastAsia"/>
              <w:sz w:val="28"/>
              <w:szCs w:val="28"/>
            </w:rPr>
            <w:tab/>
          </w:r>
          <w:bookmarkStart w:id="34" w:name="_Toc6654_WPSOffice_Level2Page"/>
          <w:r>
            <w:rPr>
              <w:rFonts w:hint="eastAsia" w:asciiTheme="minorEastAsia" w:hAnsiTheme="minorEastAsia" w:eastAsiaTheme="minorEastAsia" w:cstheme="minorEastAsia"/>
              <w:sz w:val="28"/>
              <w:szCs w:val="28"/>
            </w:rPr>
            <w:t>61</w:t>
          </w:r>
          <w:bookmarkEnd w:id="34"/>
          <w:r>
            <w:rPr>
              <w:rFonts w:hint="eastAsia" w:asciiTheme="minorEastAsia" w:hAnsiTheme="minorEastAsia" w:eastAsiaTheme="minorEastAsia" w:cstheme="minorEastAsia"/>
              <w:sz w:val="28"/>
              <w:szCs w:val="28"/>
            </w:rPr>
            <w:fldChar w:fldCharType="end"/>
          </w:r>
        </w:p>
        <w:p>
          <w:pPr>
            <w:pStyle w:val="116"/>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sz w:val="28"/>
              <w:szCs w:val="28"/>
            </w:rPr>
            <w:instrText xml:space="preserve"> HYPERLINK \l _Toc6099_WPSOffice_Level1 </w:instrText>
          </w:r>
          <w:r>
            <w:rPr>
              <w:rFonts w:hint="eastAsia" w:asciiTheme="minorEastAsia" w:hAnsiTheme="minorEastAsia" w:eastAsiaTheme="minorEastAsia" w:cstheme="minorEastAsia"/>
              <w:b/>
              <w:bCs/>
              <w:sz w:val="28"/>
              <w:szCs w:val="28"/>
            </w:rPr>
            <w:fldChar w:fldCharType="separate"/>
          </w:r>
          <w:sdt>
            <w:sdtPr>
              <w:rPr>
                <w:rFonts w:hint="eastAsia" w:asciiTheme="minorEastAsia" w:hAnsiTheme="minorEastAsia" w:eastAsiaTheme="minorEastAsia" w:cstheme="minorEastAsia"/>
                <w:b/>
                <w:bCs/>
                <w:sz w:val="28"/>
                <w:szCs w:val="28"/>
                <w:lang w:val="en-US" w:eastAsia="zh-CN" w:bidi="ar-SA"/>
              </w:rPr>
              <w:id w:val="147456270"/>
              <w:placeholder>
                <w:docPart w:val="{9262c514-66ec-47f1-b44c-4239c07fc980}"/>
              </w:placeholder>
            </w:sdtPr>
            <w:sdtEndPr>
              <w:rPr>
                <w:rFonts w:hint="eastAsia" w:asciiTheme="minorEastAsia" w:hAnsiTheme="minorEastAsia" w:eastAsiaTheme="minorEastAsia" w:cstheme="minorEastAsia"/>
                <w:b/>
                <w:bCs/>
                <w:sz w:val="28"/>
                <w:szCs w:val="28"/>
                <w:lang w:val="en-US" w:eastAsia="zh-CN" w:bidi="ar-SA"/>
              </w:rPr>
            </w:sdtEndPr>
            <w:sdtContent>
              <w:r>
                <w:rPr>
                  <w:rFonts w:hint="eastAsia" w:asciiTheme="minorEastAsia" w:hAnsiTheme="minorEastAsia" w:eastAsiaTheme="minorEastAsia" w:cstheme="minorEastAsia"/>
                  <w:b/>
                  <w:bCs/>
                  <w:sz w:val="28"/>
                  <w:szCs w:val="28"/>
                </w:rPr>
                <w:t>第5章 定性、定量分析评价</w:t>
              </w:r>
            </w:sdtContent>
          </w:sdt>
          <w:r>
            <w:rPr>
              <w:rFonts w:hint="eastAsia" w:asciiTheme="minorEastAsia" w:hAnsiTheme="minorEastAsia" w:eastAsiaTheme="minorEastAsia" w:cstheme="minorEastAsia"/>
              <w:b/>
              <w:bCs/>
              <w:sz w:val="28"/>
              <w:szCs w:val="28"/>
            </w:rPr>
            <w:tab/>
          </w:r>
          <w:bookmarkStart w:id="35" w:name="_Toc6099_WPSOffice_Level1Page"/>
          <w:r>
            <w:rPr>
              <w:rFonts w:hint="eastAsia" w:asciiTheme="minorEastAsia" w:hAnsiTheme="minorEastAsia" w:eastAsiaTheme="minorEastAsia" w:cstheme="minorEastAsia"/>
              <w:b/>
              <w:bCs/>
              <w:sz w:val="28"/>
              <w:szCs w:val="28"/>
            </w:rPr>
            <w:t>68</w:t>
          </w:r>
          <w:bookmarkEnd w:id="35"/>
          <w:r>
            <w:rPr>
              <w:rFonts w:hint="eastAsia" w:asciiTheme="minorEastAsia" w:hAnsiTheme="minorEastAsia" w:eastAsiaTheme="minorEastAsia" w:cstheme="minorEastAsia"/>
              <w:b/>
              <w:bCs/>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_Toc21890_WPSOffice_Level2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81388"/>
              <w:placeholder>
                <w:docPart w:val="{deea4700-5a29-4a8b-8092-24d0c39a7b56}"/>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5.1危险度评价</w:t>
              </w:r>
            </w:sdtContent>
          </w:sdt>
          <w:r>
            <w:rPr>
              <w:rFonts w:hint="eastAsia" w:asciiTheme="minorEastAsia" w:hAnsiTheme="minorEastAsia" w:eastAsiaTheme="minorEastAsia" w:cstheme="minorEastAsia"/>
              <w:sz w:val="28"/>
              <w:szCs w:val="28"/>
            </w:rPr>
            <w:tab/>
          </w:r>
          <w:bookmarkStart w:id="36" w:name="_Toc21890_WPSOffice_Level2Page"/>
          <w:r>
            <w:rPr>
              <w:rFonts w:hint="eastAsia" w:asciiTheme="minorEastAsia" w:hAnsiTheme="minorEastAsia" w:eastAsiaTheme="minorEastAsia" w:cstheme="minorEastAsia"/>
              <w:sz w:val="28"/>
              <w:szCs w:val="28"/>
            </w:rPr>
            <w:t>68</w:t>
          </w:r>
          <w:bookmarkEnd w:id="36"/>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_Toc18148_WPSOffice_Level2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8084"/>
              <w:placeholder>
                <w:docPart w:val="{b860e7eb-7a46-4897-b64b-408828c109f0}"/>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5.2 LEC改进法危险性分析</w:t>
              </w:r>
            </w:sdtContent>
          </w:sdt>
          <w:r>
            <w:rPr>
              <w:rFonts w:hint="eastAsia" w:asciiTheme="minorEastAsia" w:hAnsiTheme="minorEastAsia" w:eastAsiaTheme="minorEastAsia" w:cstheme="minorEastAsia"/>
              <w:sz w:val="28"/>
              <w:szCs w:val="28"/>
            </w:rPr>
            <w:tab/>
          </w:r>
          <w:bookmarkStart w:id="37" w:name="_Toc18148_WPSOffice_Level2Page"/>
          <w:r>
            <w:rPr>
              <w:rFonts w:hint="eastAsia" w:asciiTheme="minorEastAsia" w:hAnsiTheme="minorEastAsia" w:eastAsiaTheme="minorEastAsia" w:cstheme="minorEastAsia"/>
              <w:sz w:val="28"/>
              <w:szCs w:val="28"/>
            </w:rPr>
            <w:t>68</w:t>
          </w:r>
          <w:bookmarkEnd w:id="37"/>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_Toc4414_WPSOffice_Level2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1891"/>
              <w:placeholder>
                <w:docPart w:val="{41ba9982-1c11-43c1-a040-6ff0c920c622}"/>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5.3厂址及总平面布置评价单元</w:t>
              </w:r>
            </w:sdtContent>
          </w:sdt>
          <w:r>
            <w:rPr>
              <w:rFonts w:hint="eastAsia" w:asciiTheme="minorEastAsia" w:hAnsiTheme="minorEastAsia" w:eastAsiaTheme="minorEastAsia" w:cstheme="minorEastAsia"/>
              <w:sz w:val="28"/>
              <w:szCs w:val="28"/>
            </w:rPr>
            <w:tab/>
          </w:r>
          <w:bookmarkStart w:id="38" w:name="_Toc4414_WPSOffice_Level2Page"/>
          <w:r>
            <w:rPr>
              <w:rFonts w:hint="eastAsia" w:asciiTheme="minorEastAsia" w:hAnsiTheme="minorEastAsia" w:eastAsiaTheme="minorEastAsia" w:cstheme="minorEastAsia"/>
              <w:sz w:val="28"/>
              <w:szCs w:val="28"/>
            </w:rPr>
            <w:t>69</w:t>
          </w:r>
          <w:bookmarkEnd w:id="38"/>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_Toc19547_WPSOffice_Level2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78867"/>
              <w:placeholder>
                <w:docPart w:val="{ac8ac763-fdba-49d4-8c32-513e06555e61}"/>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5.4甲醇储存工艺设备、设施单元分析评价</w:t>
              </w:r>
            </w:sdtContent>
          </w:sdt>
          <w:r>
            <w:rPr>
              <w:rFonts w:hint="eastAsia" w:asciiTheme="minorEastAsia" w:hAnsiTheme="minorEastAsia" w:eastAsiaTheme="minorEastAsia" w:cstheme="minorEastAsia"/>
              <w:sz w:val="28"/>
              <w:szCs w:val="28"/>
            </w:rPr>
            <w:tab/>
          </w:r>
          <w:bookmarkStart w:id="39" w:name="_Toc19547_WPSOffice_Level2Page"/>
          <w:r>
            <w:rPr>
              <w:rFonts w:hint="eastAsia" w:asciiTheme="minorEastAsia" w:hAnsiTheme="minorEastAsia" w:eastAsiaTheme="minorEastAsia" w:cstheme="minorEastAsia"/>
              <w:sz w:val="28"/>
              <w:szCs w:val="28"/>
            </w:rPr>
            <w:t>77</w:t>
          </w:r>
          <w:bookmarkEnd w:id="39"/>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_Toc11125_WPSOffice_Level2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9510"/>
              <w:placeholder>
                <w:docPart w:val="{0245b619-fe18-4dd3-96a8-19ab441e5988}"/>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5.5公辅评价单元</w:t>
              </w:r>
            </w:sdtContent>
          </w:sdt>
          <w:r>
            <w:rPr>
              <w:rFonts w:hint="eastAsia" w:asciiTheme="minorEastAsia" w:hAnsiTheme="minorEastAsia" w:eastAsiaTheme="minorEastAsia" w:cstheme="minorEastAsia"/>
              <w:sz w:val="28"/>
              <w:szCs w:val="28"/>
            </w:rPr>
            <w:tab/>
          </w:r>
          <w:bookmarkStart w:id="40" w:name="_Toc11125_WPSOffice_Level2Page"/>
          <w:r>
            <w:rPr>
              <w:rFonts w:hint="eastAsia" w:asciiTheme="minorEastAsia" w:hAnsiTheme="minorEastAsia" w:eastAsiaTheme="minorEastAsia" w:cstheme="minorEastAsia"/>
              <w:sz w:val="28"/>
              <w:szCs w:val="28"/>
            </w:rPr>
            <w:t>80</w:t>
          </w:r>
          <w:bookmarkEnd w:id="40"/>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82166"/>
              <w:placeholder>
                <w:docPart w:val="{9180d87e-f7f8-4cc7-8a57-e7831b16c971}"/>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5.6安全设施评价单元</w:t>
              </w:r>
            </w:sdtContent>
          </w:sdt>
          <w:r>
            <w:rPr>
              <w:rFonts w:hint="eastAsia" w:asciiTheme="minorEastAsia" w:hAnsiTheme="minorEastAsia" w:eastAsiaTheme="minorEastAsia" w:cstheme="minorEastAsia"/>
              <w:sz w:val="28"/>
              <w:szCs w:val="28"/>
            </w:rPr>
            <w:tab/>
          </w:r>
          <w:bookmarkStart w:id="41" w:name="_Toc10_WPSOffice_Level2Page"/>
          <w:r>
            <w:rPr>
              <w:rFonts w:hint="eastAsia" w:asciiTheme="minorEastAsia" w:hAnsiTheme="minorEastAsia" w:eastAsiaTheme="minorEastAsia" w:cstheme="minorEastAsia"/>
              <w:sz w:val="28"/>
              <w:szCs w:val="28"/>
            </w:rPr>
            <w:t>86</w:t>
          </w:r>
          <w:bookmarkEnd w:id="41"/>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_Toc787_WPSOffice_Level2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5104"/>
              <w:placeholder>
                <w:docPart w:val="{017d8fc2-5129-4b19-adac-0d6a6962d675}"/>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5.7安全管理评价单元</w:t>
              </w:r>
            </w:sdtContent>
          </w:sdt>
          <w:r>
            <w:rPr>
              <w:rFonts w:hint="eastAsia" w:asciiTheme="minorEastAsia" w:hAnsiTheme="minorEastAsia" w:eastAsiaTheme="minorEastAsia" w:cstheme="minorEastAsia"/>
              <w:sz w:val="28"/>
              <w:szCs w:val="28"/>
            </w:rPr>
            <w:tab/>
          </w:r>
          <w:bookmarkStart w:id="42" w:name="_Toc787_WPSOffice_Level2Page"/>
          <w:r>
            <w:rPr>
              <w:rFonts w:hint="eastAsia" w:asciiTheme="minorEastAsia" w:hAnsiTheme="minorEastAsia" w:eastAsiaTheme="minorEastAsia" w:cstheme="minorEastAsia"/>
              <w:sz w:val="28"/>
              <w:szCs w:val="28"/>
            </w:rPr>
            <w:t>89</w:t>
          </w:r>
          <w:bookmarkEnd w:id="42"/>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_Toc13393_WPSOffice_Level2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80454"/>
              <w:placeholder>
                <w:docPart w:val="{4bb58e4f-0fcb-4469-b508-4bb87f35c90e}"/>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5.8换证安全条件评价单元</w:t>
              </w:r>
            </w:sdtContent>
          </w:sdt>
          <w:r>
            <w:rPr>
              <w:rFonts w:hint="eastAsia" w:asciiTheme="minorEastAsia" w:hAnsiTheme="minorEastAsia" w:eastAsiaTheme="minorEastAsia" w:cstheme="minorEastAsia"/>
              <w:sz w:val="28"/>
              <w:szCs w:val="28"/>
            </w:rPr>
            <w:tab/>
          </w:r>
          <w:bookmarkStart w:id="43" w:name="_Toc13393_WPSOffice_Level2Page"/>
          <w:r>
            <w:rPr>
              <w:rFonts w:hint="eastAsia" w:asciiTheme="minorEastAsia" w:hAnsiTheme="minorEastAsia" w:eastAsiaTheme="minorEastAsia" w:cstheme="minorEastAsia"/>
              <w:sz w:val="28"/>
              <w:szCs w:val="28"/>
            </w:rPr>
            <w:t>94</w:t>
          </w:r>
          <w:bookmarkEnd w:id="43"/>
          <w:r>
            <w:rPr>
              <w:rFonts w:hint="eastAsia" w:asciiTheme="minorEastAsia" w:hAnsiTheme="minorEastAsia" w:eastAsiaTheme="minorEastAsia" w:cstheme="minorEastAsia"/>
              <w:sz w:val="28"/>
              <w:szCs w:val="28"/>
            </w:rPr>
            <w:fldChar w:fldCharType="end"/>
          </w:r>
        </w:p>
        <w:p>
          <w:pPr>
            <w:pStyle w:val="116"/>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sz w:val="28"/>
              <w:szCs w:val="28"/>
            </w:rPr>
            <w:instrText xml:space="preserve"> HYPERLINK \l _Toc16905_WPSOffice_Level1 </w:instrText>
          </w:r>
          <w:r>
            <w:rPr>
              <w:rFonts w:hint="eastAsia" w:asciiTheme="minorEastAsia" w:hAnsiTheme="minorEastAsia" w:eastAsiaTheme="minorEastAsia" w:cstheme="minorEastAsia"/>
              <w:b/>
              <w:bCs/>
              <w:sz w:val="28"/>
              <w:szCs w:val="28"/>
            </w:rPr>
            <w:fldChar w:fldCharType="separate"/>
          </w:r>
          <w:sdt>
            <w:sdtPr>
              <w:rPr>
                <w:rFonts w:hint="eastAsia" w:asciiTheme="minorEastAsia" w:hAnsiTheme="minorEastAsia" w:eastAsiaTheme="minorEastAsia" w:cstheme="minorEastAsia"/>
                <w:b/>
                <w:bCs/>
                <w:sz w:val="28"/>
                <w:szCs w:val="28"/>
                <w:lang w:val="en-US" w:eastAsia="zh-CN" w:bidi="ar-SA"/>
              </w:rPr>
              <w:id w:val="147469796"/>
              <w:placeholder>
                <w:docPart w:val="{49859e44-1262-4d73-bf41-88d66fd14867}"/>
              </w:placeholder>
            </w:sdtPr>
            <w:sdtEndPr>
              <w:rPr>
                <w:rFonts w:hint="eastAsia" w:asciiTheme="minorEastAsia" w:hAnsiTheme="minorEastAsia" w:eastAsiaTheme="minorEastAsia" w:cstheme="minorEastAsia"/>
                <w:b/>
                <w:bCs/>
                <w:sz w:val="28"/>
                <w:szCs w:val="28"/>
                <w:lang w:val="en-US" w:eastAsia="zh-CN" w:bidi="ar-SA"/>
              </w:rPr>
            </w:sdtEndPr>
            <w:sdtContent>
              <w:r>
                <w:rPr>
                  <w:rFonts w:hint="eastAsia" w:asciiTheme="minorEastAsia" w:hAnsiTheme="minorEastAsia" w:eastAsiaTheme="minorEastAsia" w:cstheme="minorEastAsia"/>
                  <w:b/>
                  <w:bCs/>
                  <w:sz w:val="28"/>
                  <w:szCs w:val="28"/>
                </w:rPr>
                <w:t>第6章 存在的主要隐患问题及整改情况、安全对策措施及建议</w:t>
              </w:r>
            </w:sdtContent>
          </w:sdt>
          <w:r>
            <w:rPr>
              <w:rFonts w:hint="eastAsia" w:asciiTheme="minorEastAsia" w:hAnsiTheme="minorEastAsia" w:eastAsiaTheme="minorEastAsia" w:cstheme="minorEastAsia"/>
              <w:b/>
              <w:bCs/>
              <w:sz w:val="28"/>
              <w:szCs w:val="28"/>
            </w:rPr>
            <w:tab/>
          </w:r>
          <w:bookmarkStart w:id="44" w:name="_Toc16905_WPSOffice_Level1Page"/>
          <w:r>
            <w:rPr>
              <w:rFonts w:hint="eastAsia" w:asciiTheme="minorEastAsia" w:hAnsiTheme="minorEastAsia" w:eastAsiaTheme="minorEastAsia" w:cstheme="minorEastAsia"/>
              <w:b/>
              <w:bCs/>
              <w:sz w:val="28"/>
              <w:szCs w:val="28"/>
            </w:rPr>
            <w:t>97</w:t>
          </w:r>
          <w:bookmarkEnd w:id="44"/>
          <w:r>
            <w:rPr>
              <w:rFonts w:hint="eastAsia" w:asciiTheme="minorEastAsia" w:hAnsiTheme="minorEastAsia" w:eastAsiaTheme="minorEastAsia" w:cstheme="minorEastAsia"/>
              <w:b/>
              <w:bCs/>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_Toc31608_WPSOffice_Level2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4473"/>
              <w:placeholder>
                <w:docPart w:val="{925c9003-e357-4f52-9905-867290824afa}"/>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6.1存在的主要隐患问题</w:t>
              </w:r>
            </w:sdtContent>
          </w:sdt>
          <w:r>
            <w:rPr>
              <w:rFonts w:hint="eastAsia" w:asciiTheme="minorEastAsia" w:hAnsiTheme="minorEastAsia" w:eastAsiaTheme="minorEastAsia" w:cstheme="minorEastAsia"/>
              <w:sz w:val="28"/>
              <w:szCs w:val="28"/>
            </w:rPr>
            <w:tab/>
          </w:r>
          <w:bookmarkStart w:id="45" w:name="_Toc31608_WPSOffice_Level2Page"/>
          <w:r>
            <w:rPr>
              <w:rFonts w:hint="eastAsia" w:asciiTheme="minorEastAsia" w:hAnsiTheme="minorEastAsia" w:eastAsiaTheme="minorEastAsia" w:cstheme="minorEastAsia"/>
              <w:sz w:val="28"/>
              <w:szCs w:val="28"/>
            </w:rPr>
            <w:t>97</w:t>
          </w:r>
          <w:bookmarkEnd w:id="45"/>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_Toc14221_WPSOffice_Level2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7610"/>
              <w:placeholder>
                <w:docPart w:val="{cbcfd82b-9245-41ab-be0e-3b9a48626d0c}"/>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6.2整改情况</w:t>
              </w:r>
            </w:sdtContent>
          </w:sdt>
          <w:r>
            <w:rPr>
              <w:rFonts w:hint="eastAsia" w:asciiTheme="minorEastAsia" w:hAnsiTheme="minorEastAsia" w:eastAsiaTheme="minorEastAsia" w:cstheme="minorEastAsia"/>
              <w:sz w:val="28"/>
              <w:szCs w:val="28"/>
            </w:rPr>
            <w:tab/>
          </w:r>
          <w:bookmarkStart w:id="46" w:name="_Toc14221_WPSOffice_Level2Page"/>
          <w:r>
            <w:rPr>
              <w:rFonts w:hint="eastAsia" w:asciiTheme="minorEastAsia" w:hAnsiTheme="minorEastAsia" w:eastAsiaTheme="minorEastAsia" w:cstheme="minorEastAsia"/>
              <w:sz w:val="28"/>
              <w:szCs w:val="28"/>
            </w:rPr>
            <w:t>97</w:t>
          </w:r>
          <w:bookmarkEnd w:id="46"/>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_Toc10278_WPSOffice_Level2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1255"/>
              <w:placeholder>
                <w:docPart w:val="{c9e20936-1026-4839-9ce0-ade7334e05a3}"/>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6.3 安全对策措施及建议</w:t>
              </w:r>
            </w:sdtContent>
          </w:sdt>
          <w:r>
            <w:rPr>
              <w:rFonts w:hint="eastAsia" w:asciiTheme="minorEastAsia" w:hAnsiTheme="minorEastAsia" w:eastAsiaTheme="minorEastAsia" w:cstheme="minorEastAsia"/>
              <w:sz w:val="28"/>
              <w:szCs w:val="28"/>
            </w:rPr>
            <w:tab/>
          </w:r>
          <w:bookmarkStart w:id="47" w:name="_Toc10278_WPSOffice_Level2Page"/>
          <w:r>
            <w:rPr>
              <w:rFonts w:hint="eastAsia" w:asciiTheme="minorEastAsia" w:hAnsiTheme="minorEastAsia" w:eastAsiaTheme="minorEastAsia" w:cstheme="minorEastAsia"/>
              <w:sz w:val="28"/>
              <w:szCs w:val="28"/>
            </w:rPr>
            <w:t>97</w:t>
          </w:r>
          <w:bookmarkEnd w:id="47"/>
          <w:r>
            <w:rPr>
              <w:rFonts w:hint="eastAsia" w:asciiTheme="minorEastAsia" w:hAnsiTheme="minorEastAsia" w:eastAsiaTheme="minorEastAsia" w:cstheme="minorEastAsia"/>
              <w:sz w:val="28"/>
              <w:szCs w:val="28"/>
            </w:rPr>
            <w:fldChar w:fldCharType="end"/>
          </w:r>
        </w:p>
        <w:p>
          <w:pPr>
            <w:pStyle w:val="116"/>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sz w:val="28"/>
              <w:szCs w:val="28"/>
            </w:rPr>
            <w:instrText xml:space="preserve"> HYPERLINK \l _Toc22759_WPSOffice_Level1 </w:instrText>
          </w:r>
          <w:r>
            <w:rPr>
              <w:rFonts w:hint="eastAsia" w:asciiTheme="minorEastAsia" w:hAnsiTheme="minorEastAsia" w:eastAsiaTheme="minorEastAsia" w:cstheme="minorEastAsia"/>
              <w:b/>
              <w:bCs/>
              <w:sz w:val="28"/>
              <w:szCs w:val="28"/>
            </w:rPr>
            <w:fldChar w:fldCharType="separate"/>
          </w:r>
          <w:sdt>
            <w:sdtPr>
              <w:rPr>
                <w:rFonts w:hint="eastAsia" w:asciiTheme="minorEastAsia" w:hAnsiTheme="minorEastAsia" w:eastAsiaTheme="minorEastAsia" w:cstheme="minorEastAsia"/>
                <w:b/>
                <w:bCs/>
                <w:sz w:val="28"/>
                <w:szCs w:val="28"/>
                <w:lang w:val="en-US" w:eastAsia="zh-CN" w:bidi="ar-SA"/>
              </w:rPr>
              <w:id w:val="147462786"/>
              <w:placeholder>
                <w:docPart w:val="{d00c686f-66a5-4786-89a1-c61b0ba58e74}"/>
              </w:placeholder>
            </w:sdtPr>
            <w:sdtEndPr>
              <w:rPr>
                <w:rFonts w:hint="eastAsia" w:asciiTheme="minorEastAsia" w:hAnsiTheme="minorEastAsia" w:eastAsiaTheme="minorEastAsia" w:cstheme="minorEastAsia"/>
                <w:b/>
                <w:bCs/>
                <w:sz w:val="28"/>
                <w:szCs w:val="28"/>
                <w:lang w:val="en-US" w:eastAsia="zh-CN" w:bidi="ar-SA"/>
              </w:rPr>
            </w:sdtEndPr>
            <w:sdtContent>
              <w:r>
                <w:rPr>
                  <w:rFonts w:hint="eastAsia" w:asciiTheme="minorEastAsia" w:hAnsiTheme="minorEastAsia" w:eastAsiaTheme="minorEastAsia" w:cstheme="minorEastAsia"/>
                  <w:b/>
                  <w:bCs/>
                  <w:sz w:val="28"/>
                  <w:szCs w:val="28"/>
                </w:rPr>
                <w:t>第7章 安全现状评价结论</w:t>
              </w:r>
            </w:sdtContent>
          </w:sdt>
          <w:r>
            <w:rPr>
              <w:rFonts w:hint="eastAsia" w:asciiTheme="minorEastAsia" w:hAnsiTheme="minorEastAsia" w:eastAsiaTheme="minorEastAsia" w:cstheme="minorEastAsia"/>
              <w:b/>
              <w:bCs/>
              <w:sz w:val="28"/>
              <w:szCs w:val="28"/>
            </w:rPr>
            <w:tab/>
          </w:r>
          <w:bookmarkStart w:id="48" w:name="_Toc22759_WPSOffice_Level1Page"/>
          <w:r>
            <w:rPr>
              <w:rFonts w:hint="eastAsia" w:asciiTheme="minorEastAsia" w:hAnsiTheme="minorEastAsia" w:eastAsiaTheme="minorEastAsia" w:cstheme="minorEastAsia"/>
              <w:b/>
              <w:bCs/>
              <w:sz w:val="28"/>
              <w:szCs w:val="28"/>
            </w:rPr>
            <w:t>102</w:t>
          </w:r>
          <w:bookmarkEnd w:id="48"/>
          <w:r>
            <w:rPr>
              <w:rFonts w:hint="eastAsia" w:asciiTheme="minorEastAsia" w:hAnsiTheme="minorEastAsia" w:eastAsiaTheme="minorEastAsia" w:cstheme="minorEastAsia"/>
              <w:b/>
              <w:bCs/>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_Toc7038_WPSOffice_Level2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3981"/>
              <w:placeholder>
                <w:docPart w:val="{affe6660-c66e-46a2-b716-60b9b9b8c9d8}"/>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7.1主要危险、有害物质</w:t>
              </w:r>
            </w:sdtContent>
          </w:sdt>
          <w:r>
            <w:rPr>
              <w:rFonts w:hint="eastAsia" w:asciiTheme="minorEastAsia" w:hAnsiTheme="minorEastAsia" w:eastAsiaTheme="minorEastAsia" w:cstheme="minorEastAsia"/>
              <w:sz w:val="28"/>
              <w:szCs w:val="28"/>
            </w:rPr>
            <w:tab/>
          </w:r>
          <w:bookmarkStart w:id="49" w:name="_Toc7038_WPSOffice_Level2Page"/>
          <w:r>
            <w:rPr>
              <w:rFonts w:hint="eastAsia" w:asciiTheme="minorEastAsia" w:hAnsiTheme="minorEastAsia" w:eastAsiaTheme="minorEastAsia" w:cstheme="minorEastAsia"/>
              <w:sz w:val="28"/>
              <w:szCs w:val="28"/>
            </w:rPr>
            <w:t>102</w:t>
          </w:r>
          <w:bookmarkEnd w:id="49"/>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_Toc5882_WPSOffice_Level2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83255"/>
              <w:placeholder>
                <w:docPart w:val="{b6c12a83-2dae-4128-a7be-1bc808efeae4}"/>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7.2主要危险、有害因素</w:t>
              </w:r>
            </w:sdtContent>
          </w:sdt>
          <w:r>
            <w:rPr>
              <w:rFonts w:hint="eastAsia" w:asciiTheme="minorEastAsia" w:hAnsiTheme="minorEastAsia" w:eastAsiaTheme="minorEastAsia" w:cstheme="minorEastAsia"/>
              <w:sz w:val="28"/>
              <w:szCs w:val="28"/>
            </w:rPr>
            <w:tab/>
          </w:r>
          <w:bookmarkStart w:id="50" w:name="_Toc5882_WPSOffice_Level2Page"/>
          <w:r>
            <w:rPr>
              <w:rFonts w:hint="eastAsia" w:asciiTheme="minorEastAsia" w:hAnsiTheme="minorEastAsia" w:eastAsiaTheme="minorEastAsia" w:cstheme="minorEastAsia"/>
              <w:sz w:val="28"/>
              <w:szCs w:val="28"/>
            </w:rPr>
            <w:t>102</w:t>
          </w:r>
          <w:bookmarkEnd w:id="50"/>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_Toc29998_WPSOffice_Level2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65337"/>
              <w:placeholder>
                <w:docPart w:val="{67bbb086-cf41-49d7-9f25-23ff304f937f}"/>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7.3危险化学品重大危险源辨识结果</w:t>
              </w:r>
            </w:sdtContent>
          </w:sdt>
          <w:r>
            <w:rPr>
              <w:rFonts w:hint="eastAsia" w:asciiTheme="minorEastAsia" w:hAnsiTheme="minorEastAsia" w:eastAsiaTheme="minorEastAsia" w:cstheme="minorEastAsia"/>
              <w:sz w:val="28"/>
              <w:szCs w:val="28"/>
            </w:rPr>
            <w:tab/>
          </w:r>
          <w:bookmarkStart w:id="51" w:name="_Toc29998_WPSOffice_Level2Page"/>
          <w:r>
            <w:rPr>
              <w:rFonts w:hint="eastAsia" w:asciiTheme="minorEastAsia" w:hAnsiTheme="minorEastAsia" w:eastAsiaTheme="minorEastAsia" w:cstheme="minorEastAsia"/>
              <w:sz w:val="28"/>
              <w:szCs w:val="28"/>
            </w:rPr>
            <w:t>102</w:t>
          </w:r>
          <w:bookmarkEnd w:id="51"/>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_Toc13576_WPSOffice_Level2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83544"/>
              <w:placeholder>
                <w:docPart w:val="{318c9d21-5b96-4809-b63c-7d01fcef0499}"/>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7.4应重点防范的事故及危害</w:t>
              </w:r>
            </w:sdtContent>
          </w:sdt>
          <w:r>
            <w:rPr>
              <w:rFonts w:hint="eastAsia" w:asciiTheme="minorEastAsia" w:hAnsiTheme="minorEastAsia" w:eastAsiaTheme="minorEastAsia" w:cstheme="minorEastAsia"/>
              <w:sz w:val="28"/>
              <w:szCs w:val="28"/>
            </w:rPr>
            <w:tab/>
          </w:r>
          <w:bookmarkStart w:id="52" w:name="_Toc13576_WPSOffice_Level2Page"/>
          <w:r>
            <w:rPr>
              <w:rFonts w:hint="eastAsia" w:asciiTheme="minorEastAsia" w:hAnsiTheme="minorEastAsia" w:eastAsiaTheme="minorEastAsia" w:cstheme="minorEastAsia"/>
              <w:sz w:val="28"/>
              <w:szCs w:val="28"/>
            </w:rPr>
            <w:t>102</w:t>
          </w:r>
          <w:bookmarkEnd w:id="52"/>
          <w:r>
            <w:rPr>
              <w:rFonts w:hint="eastAsia" w:asciiTheme="minorEastAsia" w:hAnsiTheme="minorEastAsia" w:eastAsiaTheme="minorEastAsia" w:cstheme="minorEastAsia"/>
              <w:sz w:val="28"/>
              <w:szCs w:val="28"/>
            </w:rPr>
            <w:fldChar w:fldCharType="end"/>
          </w:r>
        </w:p>
        <w:p>
          <w:pPr>
            <w:pStyle w:val="117"/>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_Toc16583_WPSOffice_Level2 </w:instrText>
          </w:r>
          <w:r>
            <w:rPr>
              <w:rFonts w:hint="eastAsia" w:asciiTheme="minorEastAsia" w:hAnsiTheme="minorEastAsia" w:eastAsiaTheme="minorEastAsia" w:cstheme="minorEastAsia"/>
              <w:sz w:val="28"/>
              <w:szCs w:val="28"/>
            </w:rPr>
            <w:fldChar w:fldCharType="separate"/>
          </w:r>
          <w:sdt>
            <w:sdtPr>
              <w:rPr>
                <w:rFonts w:hint="eastAsia" w:asciiTheme="minorEastAsia" w:hAnsiTheme="minorEastAsia" w:eastAsiaTheme="minorEastAsia" w:cstheme="minorEastAsia"/>
                <w:sz w:val="28"/>
                <w:szCs w:val="28"/>
                <w:lang w:val="en-US" w:eastAsia="zh-CN" w:bidi="ar-SA"/>
              </w:rPr>
              <w:id w:val="147455447"/>
              <w:placeholder>
                <w:docPart w:val="{f7e50a42-fdd6-49f4-89d2-77067483fe1c}"/>
              </w:placeholder>
            </w:sdtPr>
            <w:sdtEndPr>
              <w:rPr>
                <w:rFonts w:hint="eastAsia" w:asciiTheme="minorEastAsia" w:hAnsiTheme="minorEastAsia" w:eastAsiaTheme="minorEastAsia" w:cstheme="minorEastAsia"/>
                <w:sz w:val="28"/>
                <w:szCs w:val="28"/>
                <w:lang w:val="en-US" w:eastAsia="zh-CN" w:bidi="ar-SA"/>
              </w:rPr>
            </w:sdtEndPr>
            <w:sdtContent>
              <w:r>
                <w:rPr>
                  <w:rFonts w:hint="eastAsia" w:asciiTheme="minorEastAsia" w:hAnsiTheme="minorEastAsia" w:eastAsiaTheme="minorEastAsia" w:cstheme="minorEastAsia"/>
                  <w:sz w:val="28"/>
                  <w:szCs w:val="28"/>
                </w:rPr>
                <w:t>7.5安全现状评价结论</w:t>
              </w:r>
            </w:sdtContent>
          </w:sdt>
          <w:r>
            <w:rPr>
              <w:rFonts w:hint="eastAsia" w:asciiTheme="minorEastAsia" w:hAnsiTheme="minorEastAsia" w:eastAsiaTheme="minorEastAsia" w:cstheme="minorEastAsia"/>
              <w:sz w:val="28"/>
              <w:szCs w:val="28"/>
            </w:rPr>
            <w:tab/>
          </w:r>
          <w:bookmarkStart w:id="53" w:name="_Toc16583_WPSOffice_Level2Page"/>
          <w:r>
            <w:rPr>
              <w:rFonts w:hint="eastAsia" w:asciiTheme="minorEastAsia" w:hAnsiTheme="minorEastAsia" w:eastAsiaTheme="minorEastAsia" w:cstheme="minorEastAsia"/>
              <w:sz w:val="28"/>
              <w:szCs w:val="28"/>
            </w:rPr>
            <w:t>103</w:t>
          </w:r>
          <w:bookmarkEnd w:id="53"/>
          <w:r>
            <w:rPr>
              <w:rFonts w:hint="eastAsia" w:asciiTheme="minorEastAsia" w:hAnsiTheme="minorEastAsia" w:eastAsiaTheme="minorEastAsia" w:cstheme="minorEastAsia"/>
              <w:sz w:val="28"/>
              <w:szCs w:val="28"/>
            </w:rPr>
            <w:fldChar w:fldCharType="end"/>
          </w:r>
        </w:p>
        <w:p>
          <w:pPr>
            <w:pStyle w:val="116"/>
            <w:tabs>
              <w:tab w:val="right" w:leader="dot" w:pos="9185"/>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sz w:val="28"/>
              <w:szCs w:val="28"/>
            </w:rPr>
            <w:instrText xml:space="preserve"> HYPERLINK \l _Toc19451_WPSOffice_Level1 </w:instrText>
          </w:r>
          <w:r>
            <w:rPr>
              <w:rFonts w:hint="eastAsia" w:asciiTheme="minorEastAsia" w:hAnsiTheme="minorEastAsia" w:eastAsiaTheme="minorEastAsia" w:cstheme="minorEastAsia"/>
              <w:b/>
              <w:bCs/>
              <w:sz w:val="28"/>
              <w:szCs w:val="28"/>
            </w:rPr>
            <w:fldChar w:fldCharType="separate"/>
          </w:r>
          <w:sdt>
            <w:sdtPr>
              <w:rPr>
                <w:rFonts w:hint="eastAsia" w:asciiTheme="minorEastAsia" w:hAnsiTheme="minorEastAsia" w:eastAsiaTheme="minorEastAsia" w:cstheme="minorEastAsia"/>
                <w:b/>
                <w:bCs/>
                <w:sz w:val="28"/>
                <w:szCs w:val="28"/>
                <w:lang w:val="en-US" w:eastAsia="zh-CN" w:bidi="ar-SA"/>
              </w:rPr>
              <w:id w:val="147454741"/>
              <w:placeholder>
                <w:docPart w:val="{f3ea3ebf-dd4f-4a69-b9b1-caa6226037aa}"/>
              </w:placeholder>
            </w:sdtPr>
            <w:sdtEndPr>
              <w:rPr>
                <w:rFonts w:hint="eastAsia" w:asciiTheme="minorEastAsia" w:hAnsiTheme="minorEastAsia" w:eastAsiaTheme="minorEastAsia" w:cstheme="minorEastAsia"/>
                <w:b/>
                <w:bCs/>
                <w:sz w:val="28"/>
                <w:szCs w:val="28"/>
                <w:lang w:val="en-US" w:eastAsia="zh-CN" w:bidi="ar-SA"/>
              </w:rPr>
            </w:sdtEndPr>
            <w:sdtContent>
              <w:r>
                <w:rPr>
                  <w:rFonts w:hint="eastAsia" w:asciiTheme="minorEastAsia" w:hAnsiTheme="minorEastAsia" w:eastAsiaTheme="minorEastAsia" w:cstheme="minorEastAsia"/>
                  <w:b/>
                  <w:bCs/>
                  <w:sz w:val="28"/>
                  <w:szCs w:val="28"/>
                </w:rPr>
                <w:t>第8章  与被评价单位交换意见的情况</w:t>
              </w:r>
            </w:sdtContent>
          </w:sdt>
          <w:r>
            <w:rPr>
              <w:rFonts w:hint="eastAsia" w:asciiTheme="minorEastAsia" w:hAnsiTheme="minorEastAsia" w:eastAsiaTheme="minorEastAsia" w:cstheme="minorEastAsia"/>
              <w:b/>
              <w:bCs/>
              <w:sz w:val="28"/>
              <w:szCs w:val="28"/>
            </w:rPr>
            <w:tab/>
          </w:r>
          <w:bookmarkStart w:id="54" w:name="_Toc19451_WPSOffice_Level1Page"/>
          <w:r>
            <w:rPr>
              <w:rFonts w:hint="eastAsia" w:asciiTheme="minorEastAsia" w:hAnsiTheme="minorEastAsia" w:eastAsiaTheme="minorEastAsia" w:cstheme="minorEastAsia"/>
              <w:b/>
              <w:bCs/>
              <w:sz w:val="28"/>
              <w:szCs w:val="28"/>
            </w:rPr>
            <w:t>105</w:t>
          </w:r>
          <w:bookmarkEnd w:id="54"/>
          <w:r>
            <w:rPr>
              <w:rFonts w:hint="eastAsia" w:asciiTheme="minorEastAsia" w:hAnsiTheme="minorEastAsia" w:eastAsiaTheme="minorEastAsia" w:cstheme="minorEastAsia"/>
              <w:b/>
              <w:bCs/>
              <w:sz w:val="28"/>
              <w:szCs w:val="28"/>
            </w:rPr>
            <w:fldChar w:fldCharType="end"/>
          </w:r>
        </w:p>
        <w:p>
          <w:pPr>
            <w:pStyle w:val="116"/>
            <w:tabs>
              <w:tab w:val="right" w:leader="dot" w:pos="9185"/>
            </w:tabs>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sz w:val="28"/>
              <w:szCs w:val="28"/>
            </w:rPr>
            <w:instrText xml:space="preserve"> HYPERLINK \l _Toc8995_WPSOffice_Level1 </w:instrText>
          </w:r>
          <w:r>
            <w:rPr>
              <w:rFonts w:hint="eastAsia" w:asciiTheme="minorEastAsia" w:hAnsiTheme="minorEastAsia" w:eastAsiaTheme="minorEastAsia" w:cstheme="minorEastAsia"/>
              <w:b/>
              <w:bCs/>
              <w:sz w:val="28"/>
              <w:szCs w:val="28"/>
            </w:rPr>
            <w:fldChar w:fldCharType="separate"/>
          </w:r>
          <w:sdt>
            <w:sdtPr>
              <w:rPr>
                <w:rFonts w:hint="eastAsia" w:asciiTheme="minorEastAsia" w:hAnsiTheme="minorEastAsia" w:eastAsiaTheme="minorEastAsia" w:cstheme="minorEastAsia"/>
                <w:b/>
                <w:bCs/>
                <w:sz w:val="28"/>
                <w:szCs w:val="28"/>
                <w:lang w:val="en-US" w:eastAsia="zh-CN" w:bidi="ar-SA"/>
              </w:rPr>
              <w:id w:val="147482363"/>
              <w:placeholder>
                <w:docPart w:val="{20545215-c490-443a-a5cb-678407a0126f}"/>
              </w:placeholder>
            </w:sdtPr>
            <w:sdtEndPr>
              <w:rPr>
                <w:rFonts w:hint="eastAsia" w:asciiTheme="minorEastAsia" w:hAnsiTheme="minorEastAsia" w:eastAsiaTheme="minorEastAsia" w:cstheme="minorEastAsia"/>
                <w:b/>
                <w:bCs/>
                <w:sz w:val="28"/>
                <w:szCs w:val="28"/>
                <w:lang w:val="en-US" w:eastAsia="zh-CN" w:bidi="ar-SA"/>
              </w:rPr>
            </w:sdtEndPr>
            <w:sdtContent>
              <w:r>
                <w:rPr>
                  <w:rFonts w:hint="eastAsia" w:asciiTheme="minorEastAsia" w:hAnsiTheme="minorEastAsia" w:eastAsiaTheme="minorEastAsia" w:cstheme="minorEastAsia"/>
                  <w:b/>
                  <w:bCs/>
                  <w:sz w:val="28"/>
                  <w:szCs w:val="28"/>
                </w:rPr>
                <w:t>附件目录</w:t>
              </w:r>
            </w:sdtContent>
          </w:sdt>
          <w:r>
            <w:rPr>
              <w:rFonts w:hint="eastAsia" w:asciiTheme="minorEastAsia" w:hAnsiTheme="minorEastAsia" w:eastAsiaTheme="minorEastAsia" w:cstheme="minorEastAsia"/>
              <w:b/>
              <w:bCs/>
              <w:sz w:val="28"/>
              <w:szCs w:val="28"/>
            </w:rPr>
            <w:tab/>
          </w:r>
          <w:bookmarkStart w:id="55" w:name="_Toc8995_WPSOffice_Level1Page"/>
          <w:r>
            <w:rPr>
              <w:rFonts w:hint="eastAsia" w:asciiTheme="minorEastAsia" w:hAnsiTheme="minorEastAsia" w:eastAsiaTheme="minorEastAsia" w:cstheme="minorEastAsia"/>
              <w:b/>
              <w:bCs/>
              <w:sz w:val="28"/>
              <w:szCs w:val="28"/>
            </w:rPr>
            <w:t>106</w:t>
          </w:r>
          <w:bookmarkEnd w:id="55"/>
          <w:r>
            <w:rPr>
              <w:rFonts w:hint="eastAsia" w:asciiTheme="minorEastAsia" w:hAnsiTheme="minorEastAsia" w:eastAsiaTheme="minorEastAsia" w:cstheme="minorEastAsia"/>
              <w:b/>
              <w:bCs/>
              <w:sz w:val="28"/>
              <w:szCs w:val="28"/>
            </w:rPr>
            <w:fldChar w:fldCharType="end"/>
          </w:r>
        </w:p>
        <w:bookmarkEnd w:id="0"/>
        <w:p>
          <w:pPr>
            <w:pStyle w:val="116"/>
            <w:tabs>
              <w:tab w:val="right" w:leader="dot" w:pos="9185"/>
            </w:tabs>
            <w:spacing w:line="400" w:lineRule="exact"/>
            <w:jc w:val="both"/>
            <w:rPr>
              <w:color w:val="000000" w:themeColor="text1"/>
            </w:rPr>
          </w:pPr>
        </w:p>
      </w:sdtContent>
    </w:sdt>
    <w:p>
      <w:pPr>
        <w:pStyle w:val="51"/>
        <w:rPr>
          <w:color w:val="000000" w:themeColor="text1"/>
        </w:rPr>
      </w:pPr>
    </w:p>
    <w:p>
      <w:pPr>
        <w:pStyle w:val="51"/>
        <w:spacing w:line="400" w:lineRule="exact"/>
        <w:rPr>
          <w:color w:val="000000" w:themeColor="text1"/>
        </w:rPr>
      </w:pPr>
    </w:p>
    <w:p>
      <w:pPr>
        <w:pStyle w:val="51"/>
        <w:ind w:firstLine="480"/>
        <w:rPr>
          <w:rFonts w:cs="宋体"/>
          <w:color w:val="000000" w:themeColor="text1"/>
          <w:sz w:val="24"/>
          <w:szCs w:val="24"/>
        </w:rPr>
      </w:pPr>
    </w:p>
    <w:p>
      <w:pPr>
        <w:pStyle w:val="51"/>
        <w:spacing w:line="400" w:lineRule="exact"/>
        <w:rPr>
          <w:color w:val="000000" w:themeColor="text1"/>
        </w:rPr>
      </w:pPr>
    </w:p>
    <w:p>
      <w:pPr>
        <w:pStyle w:val="116"/>
        <w:tabs>
          <w:tab w:val="right" w:leader="dot" w:pos="9185"/>
        </w:tabs>
        <w:adjustRightInd w:val="0"/>
        <w:snapToGrid w:val="0"/>
        <w:spacing w:line="400" w:lineRule="exact"/>
        <w:jc w:val="both"/>
        <w:rPr>
          <w:rFonts w:ascii="宋体" w:hAnsi="宋体" w:cs="宋体"/>
          <w:color w:val="000000" w:themeColor="text1"/>
          <w:sz w:val="24"/>
          <w:szCs w:val="24"/>
        </w:rPr>
      </w:pPr>
    </w:p>
    <w:p>
      <w:pPr>
        <w:pStyle w:val="51"/>
        <w:rPr>
          <w:color w:val="000000" w:themeColor="text1"/>
        </w:rPr>
      </w:pPr>
    </w:p>
    <w:p>
      <w:pPr>
        <w:adjustRightInd w:val="0"/>
        <w:snapToGrid w:val="0"/>
        <w:spacing w:line="400" w:lineRule="exact"/>
        <w:ind w:firstLine="482" w:firstLineChars="200"/>
        <w:rPr>
          <w:b/>
          <w:color w:val="000000" w:themeColor="text1"/>
          <w:sz w:val="24"/>
          <w:szCs w:val="24"/>
        </w:rPr>
      </w:pPr>
    </w:p>
    <w:p>
      <w:pPr>
        <w:pStyle w:val="18"/>
        <w:adjustRightInd w:val="0"/>
        <w:snapToGrid w:val="0"/>
        <w:spacing w:before="0" w:after="0" w:line="400" w:lineRule="exact"/>
        <w:rPr>
          <w:snapToGrid w:val="0"/>
          <w:color w:val="000000" w:themeColor="text1"/>
          <w:kern w:val="0"/>
          <w:sz w:val="24"/>
          <w:szCs w:val="24"/>
        </w:rPr>
        <w:sectPr>
          <w:headerReference r:id="rId3" w:type="default"/>
          <w:footerReference r:id="rId4" w:type="default"/>
          <w:pgSz w:w="11907" w:h="16840"/>
          <w:pgMar w:top="1418" w:right="1134" w:bottom="1134" w:left="1588" w:header="851" w:footer="992" w:gutter="0"/>
          <w:pgNumType w:fmt="decimalFullWidth" w:start="1"/>
          <w:cols w:space="720" w:num="1"/>
          <w:docGrid w:type="lines" w:linePitch="312" w:charSpace="0"/>
        </w:sectPr>
      </w:pPr>
      <w:bookmarkStart w:id="56" w:name="_Toc26123"/>
      <w:bookmarkStart w:id="57" w:name="_Toc217444140"/>
    </w:p>
    <w:p>
      <w:pPr>
        <w:pStyle w:val="19"/>
        <w:spacing w:afterLines="100" w:line="500" w:lineRule="exact"/>
        <w:jc w:val="center"/>
        <w:rPr>
          <w:rFonts w:ascii="楷体_GB2312" w:hAnsi="宋体" w:eastAsia="楷体_GB2312"/>
          <w:color w:val="000000" w:themeColor="text1"/>
          <w:kern w:val="3"/>
        </w:rPr>
      </w:pPr>
      <w:bookmarkStart w:id="58" w:name="_Toc14945"/>
      <w:bookmarkStart w:id="59" w:name="_Toc23246"/>
      <w:bookmarkStart w:id="60" w:name="_Toc19916"/>
      <w:bookmarkStart w:id="61" w:name="_Toc16999"/>
      <w:bookmarkStart w:id="62" w:name="_Toc3422_WPSOffice_Level1"/>
      <w:bookmarkStart w:id="63" w:name="_Toc25912"/>
      <w:bookmarkStart w:id="64" w:name="_Toc25498"/>
      <w:bookmarkStart w:id="65" w:name="_Toc14986"/>
      <w:bookmarkStart w:id="66" w:name="_Toc11544"/>
      <w:bookmarkStart w:id="67" w:name="_Toc16632"/>
      <w:bookmarkStart w:id="68" w:name="_Toc10871"/>
      <w:bookmarkStart w:id="69" w:name="_Toc24573"/>
      <w:bookmarkStart w:id="70" w:name="_Toc30394"/>
      <w:bookmarkStart w:id="71" w:name="_Toc22779"/>
      <w:bookmarkStart w:id="72" w:name="_Toc24240"/>
      <w:bookmarkStart w:id="73" w:name="_Toc4321"/>
      <w:r>
        <w:rPr>
          <w:rFonts w:hint="eastAsia" w:ascii="楷体_GB2312" w:hAnsi="宋体" w:eastAsia="楷体_GB2312"/>
          <w:color w:val="000000" w:themeColor="text1"/>
          <w:kern w:val="3"/>
        </w:rPr>
        <w:t>第1章  编制说明</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pStyle w:val="19"/>
        <w:spacing w:afterLines="100" w:line="500" w:lineRule="exact"/>
        <w:jc w:val="center"/>
        <w:rPr>
          <w:rFonts w:ascii="楷体_GB2312" w:hAnsi="宋体" w:eastAsia="楷体_GB2312"/>
          <w:color w:val="000000" w:themeColor="text1"/>
          <w:kern w:val="3"/>
        </w:rPr>
      </w:pPr>
      <w:bookmarkStart w:id="74" w:name="_Toc217444141"/>
      <w:bookmarkStart w:id="75" w:name="_Toc191729648"/>
      <w:bookmarkStart w:id="76" w:name="_Toc11650"/>
      <w:bookmarkStart w:id="77" w:name="_Toc2629"/>
      <w:bookmarkStart w:id="78" w:name="_Toc191728088"/>
      <w:bookmarkStart w:id="79" w:name="_Toc24293"/>
      <w:bookmarkStart w:id="80" w:name="_Toc191729966"/>
      <w:bookmarkStart w:id="81" w:name="_Toc12803"/>
      <w:bookmarkStart w:id="82" w:name="_Toc26979"/>
      <w:bookmarkStart w:id="83" w:name="_Toc14123"/>
      <w:bookmarkStart w:id="84" w:name="_Toc194389863"/>
      <w:bookmarkStart w:id="85" w:name="_Toc22005"/>
      <w:bookmarkStart w:id="86" w:name="_Toc17005"/>
      <w:bookmarkStart w:id="87" w:name="_Toc15536"/>
      <w:bookmarkStart w:id="88" w:name="_Toc13882"/>
      <w:bookmarkStart w:id="89" w:name="_Toc7637"/>
      <w:bookmarkStart w:id="90" w:name="_Toc26875"/>
      <w:bookmarkStart w:id="91" w:name="_Toc30356"/>
      <w:bookmarkStart w:id="92" w:name="_Toc23722"/>
      <w:bookmarkStart w:id="93" w:name="_Toc11746"/>
      <w:bookmarkStart w:id="94" w:name="_Toc22346"/>
      <w:bookmarkStart w:id="95" w:name="_Toc2524_WPSOffice_Level2"/>
      <w:r>
        <w:rPr>
          <w:rFonts w:hint="eastAsia" w:ascii="楷体_GB2312" w:hAnsi="宋体" w:eastAsia="楷体_GB2312"/>
          <w:color w:val="000000" w:themeColor="text1"/>
          <w:kern w:val="3"/>
        </w:rPr>
        <w:t>1.1评价目的</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tabs>
          <w:tab w:val="left" w:pos="315"/>
        </w:tabs>
        <w:adjustRightInd w:val="0"/>
        <w:snapToGrid w:val="0"/>
        <w:spacing w:line="500" w:lineRule="exact"/>
        <w:ind w:firstLine="560" w:firstLineChars="200"/>
        <w:rPr>
          <w:snapToGrid w:val="0"/>
          <w:color w:val="000000" w:themeColor="text1"/>
          <w:kern w:val="0"/>
          <w:sz w:val="28"/>
          <w:szCs w:val="28"/>
        </w:rPr>
      </w:pPr>
      <w:bookmarkStart w:id="96" w:name="_Toc191729649"/>
      <w:bookmarkStart w:id="97" w:name="_Toc194389864"/>
      <w:bookmarkStart w:id="98" w:name="_Toc191728089"/>
      <w:bookmarkStart w:id="99" w:name="_Toc191729967"/>
      <w:bookmarkStart w:id="100" w:name="_Toc217444142"/>
      <w:r>
        <w:rPr>
          <w:snapToGrid w:val="0"/>
          <w:color w:val="000000" w:themeColor="text1"/>
          <w:kern w:val="0"/>
          <w:sz w:val="28"/>
          <w:szCs w:val="28"/>
        </w:rPr>
        <w:t>1</w:t>
      </w:r>
      <w:r>
        <w:rPr>
          <w:rFonts w:hint="eastAsia"/>
          <w:snapToGrid w:val="0"/>
          <w:color w:val="000000" w:themeColor="text1"/>
          <w:kern w:val="0"/>
          <w:sz w:val="28"/>
          <w:szCs w:val="28"/>
        </w:rPr>
        <w:t>.</w:t>
      </w:r>
      <w:r>
        <w:rPr>
          <w:snapToGrid w:val="0"/>
          <w:color w:val="000000" w:themeColor="text1"/>
          <w:kern w:val="0"/>
          <w:sz w:val="28"/>
          <w:szCs w:val="28"/>
        </w:rPr>
        <w:t>根据国家相关法律、法规的规定和要求，为</w:t>
      </w:r>
      <w:r>
        <w:rPr>
          <w:rFonts w:hint="eastAsia"/>
          <w:snapToGrid w:val="0"/>
          <w:color w:val="000000" w:themeColor="text1"/>
          <w:kern w:val="20"/>
          <w:sz w:val="28"/>
        </w:rPr>
        <w:t>昭通市耀晨甲醇醇油有限公司甲醇销售</w:t>
      </w:r>
      <w:r>
        <w:rPr>
          <w:snapToGrid w:val="0"/>
          <w:color w:val="000000" w:themeColor="text1"/>
          <w:kern w:val="0"/>
          <w:sz w:val="28"/>
          <w:szCs w:val="28"/>
        </w:rPr>
        <w:t>提供安全现状评价报告</w:t>
      </w:r>
      <w:r>
        <w:rPr>
          <w:color w:val="000000" w:themeColor="text1"/>
          <w:sz w:val="28"/>
          <w:szCs w:val="28"/>
        </w:rPr>
        <w:t>，</w:t>
      </w:r>
      <w:r>
        <w:rPr>
          <w:snapToGrid w:val="0"/>
          <w:color w:val="000000" w:themeColor="text1"/>
          <w:kern w:val="0"/>
          <w:sz w:val="28"/>
          <w:szCs w:val="28"/>
        </w:rPr>
        <w:t>企业通过评价报告确认甲醇经营储存系统的安全状态。</w:t>
      </w:r>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2</w:t>
      </w:r>
      <w:r>
        <w:rPr>
          <w:rFonts w:hint="eastAsia"/>
          <w:snapToGrid w:val="0"/>
          <w:color w:val="000000" w:themeColor="text1"/>
          <w:kern w:val="0"/>
          <w:sz w:val="28"/>
          <w:szCs w:val="28"/>
        </w:rPr>
        <w:t>.</w:t>
      </w:r>
      <w:r>
        <w:rPr>
          <w:snapToGrid w:val="0"/>
          <w:color w:val="000000" w:themeColor="text1"/>
          <w:kern w:val="0"/>
          <w:sz w:val="28"/>
          <w:szCs w:val="28"/>
        </w:rPr>
        <w:t>通过安全现状评价为企业事故隐患治理提供依据，为企业的安全投入与资金使用提供参考。</w:t>
      </w:r>
    </w:p>
    <w:p>
      <w:pPr>
        <w:tabs>
          <w:tab w:val="left" w:pos="315"/>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3</w:t>
      </w:r>
      <w:r>
        <w:rPr>
          <w:rFonts w:hint="eastAsia"/>
          <w:snapToGrid w:val="0"/>
          <w:color w:val="000000" w:themeColor="text1"/>
          <w:kern w:val="0"/>
          <w:sz w:val="28"/>
          <w:szCs w:val="28"/>
        </w:rPr>
        <w:t>.</w:t>
      </w:r>
      <w:r>
        <w:rPr>
          <w:snapToGrid w:val="0"/>
          <w:color w:val="000000" w:themeColor="text1"/>
          <w:kern w:val="0"/>
          <w:sz w:val="28"/>
          <w:szCs w:val="28"/>
        </w:rPr>
        <w:t>通过安全现状评价，促进企业的安全管理，发现和整改事故隐患，提高企业运营的本质安全度。</w:t>
      </w:r>
    </w:p>
    <w:p>
      <w:pPr>
        <w:tabs>
          <w:tab w:val="left" w:pos="315"/>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4</w:t>
      </w:r>
      <w:r>
        <w:rPr>
          <w:rFonts w:hint="eastAsia"/>
          <w:snapToGrid w:val="0"/>
          <w:color w:val="000000" w:themeColor="text1"/>
          <w:kern w:val="0"/>
          <w:sz w:val="28"/>
          <w:szCs w:val="28"/>
        </w:rPr>
        <w:t>.</w:t>
      </w:r>
      <w:r>
        <w:rPr>
          <w:rFonts w:eastAsiaTheme="minorEastAsia"/>
          <w:snapToGrid w:val="0"/>
          <w:color w:val="000000" w:themeColor="text1"/>
          <w:kern w:val="0"/>
          <w:sz w:val="28"/>
          <w:szCs w:val="20"/>
        </w:rPr>
        <w:t>通过安全现状评价，查找其存在的主要危险、有害因素，并确定危险程度，提出合理可行的安全对策措施及建议。</w:t>
      </w:r>
    </w:p>
    <w:p>
      <w:pPr>
        <w:tabs>
          <w:tab w:val="left" w:pos="315"/>
        </w:tabs>
        <w:adjustRightInd w:val="0"/>
        <w:snapToGrid w:val="0"/>
        <w:spacing w:line="500" w:lineRule="exact"/>
        <w:ind w:left="560"/>
        <w:rPr>
          <w:snapToGrid w:val="0"/>
          <w:color w:val="000000" w:themeColor="text1"/>
          <w:kern w:val="0"/>
          <w:sz w:val="28"/>
          <w:szCs w:val="28"/>
        </w:rPr>
      </w:pPr>
      <w:r>
        <w:rPr>
          <w:snapToGrid w:val="0"/>
          <w:color w:val="000000" w:themeColor="text1"/>
          <w:kern w:val="0"/>
          <w:sz w:val="28"/>
          <w:szCs w:val="28"/>
        </w:rPr>
        <w:t>5</w:t>
      </w:r>
      <w:r>
        <w:rPr>
          <w:rFonts w:hint="eastAsia"/>
          <w:snapToGrid w:val="0"/>
          <w:color w:val="000000" w:themeColor="text1"/>
          <w:kern w:val="0"/>
          <w:sz w:val="28"/>
          <w:szCs w:val="28"/>
        </w:rPr>
        <w:t>.</w:t>
      </w:r>
      <w:r>
        <w:rPr>
          <w:snapToGrid w:val="0"/>
          <w:color w:val="000000" w:themeColor="text1"/>
          <w:kern w:val="0"/>
          <w:sz w:val="28"/>
          <w:szCs w:val="28"/>
        </w:rPr>
        <w:t>可作为今后企业持续改进、提高安全运营水平的基准。</w:t>
      </w:r>
    </w:p>
    <w:p>
      <w:pPr>
        <w:pStyle w:val="19"/>
        <w:spacing w:afterLines="100" w:line="500" w:lineRule="exact"/>
        <w:jc w:val="center"/>
        <w:rPr>
          <w:rFonts w:ascii="楷体_GB2312" w:hAnsi="宋体" w:eastAsia="楷体_GB2312"/>
          <w:color w:val="000000" w:themeColor="text1"/>
          <w:kern w:val="3"/>
        </w:rPr>
      </w:pPr>
      <w:bookmarkStart w:id="101" w:name="_Toc17775"/>
      <w:bookmarkStart w:id="102" w:name="_Toc23744"/>
      <w:bookmarkStart w:id="103" w:name="_Toc8036"/>
      <w:bookmarkStart w:id="104" w:name="_Toc5936"/>
      <w:bookmarkStart w:id="105" w:name="_Toc21287"/>
      <w:bookmarkStart w:id="106" w:name="_Toc10555"/>
      <w:bookmarkStart w:id="107" w:name="_Toc932"/>
      <w:bookmarkStart w:id="108" w:name="_Toc8755"/>
      <w:bookmarkStart w:id="109" w:name="_Toc14201"/>
      <w:bookmarkStart w:id="110" w:name="_Toc6953"/>
      <w:bookmarkStart w:id="111" w:name="_Toc9772"/>
      <w:bookmarkStart w:id="112" w:name="_Toc17918"/>
      <w:bookmarkStart w:id="113" w:name="_Toc14927"/>
      <w:bookmarkStart w:id="114" w:name="_Toc3129"/>
      <w:bookmarkStart w:id="115" w:name="_Toc16535"/>
      <w:bookmarkStart w:id="116" w:name="_Toc21003_WPSOffice_Level2"/>
      <w:bookmarkStart w:id="117" w:name="_Toc15298"/>
      <w:r>
        <w:rPr>
          <w:rFonts w:hint="eastAsia" w:ascii="楷体_GB2312" w:hAnsi="宋体" w:eastAsia="楷体_GB2312"/>
          <w:color w:val="000000" w:themeColor="text1"/>
          <w:kern w:val="3"/>
        </w:rPr>
        <w:t>1.2评价依据</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19"/>
        <w:spacing w:afterLines="100" w:line="500" w:lineRule="exact"/>
        <w:rPr>
          <w:rFonts w:ascii="黑体" w:hAnsi="宋体" w:eastAsia="黑体"/>
          <w:color w:val="000000" w:themeColor="text1"/>
          <w:kern w:val="3"/>
          <w:sz w:val="28"/>
          <w:szCs w:val="28"/>
        </w:rPr>
      </w:pPr>
      <w:bookmarkStart w:id="118" w:name="_Toc232044495"/>
      <w:bookmarkStart w:id="119" w:name="_Toc235074744"/>
      <w:bookmarkStart w:id="120" w:name="_Toc235614128"/>
      <w:bookmarkStart w:id="121" w:name="_Toc232045029"/>
      <w:bookmarkStart w:id="122" w:name="_Toc231987351"/>
      <w:bookmarkStart w:id="123" w:name="_Toc231987766"/>
      <w:bookmarkStart w:id="124" w:name="_Toc12018"/>
      <w:bookmarkStart w:id="125" w:name="_Toc9594"/>
      <w:bookmarkStart w:id="126" w:name="_Toc4374"/>
      <w:bookmarkStart w:id="127" w:name="_Toc3492"/>
      <w:bookmarkStart w:id="128" w:name="_Toc9681"/>
      <w:bookmarkStart w:id="129" w:name="_Toc4618"/>
      <w:bookmarkStart w:id="130" w:name="_Toc345765813"/>
      <w:bookmarkStart w:id="131" w:name="_Toc2571"/>
      <w:bookmarkStart w:id="132" w:name="_Toc31338"/>
      <w:bookmarkStart w:id="133" w:name="_Toc16628"/>
      <w:bookmarkStart w:id="134" w:name="_Toc16134"/>
      <w:bookmarkStart w:id="135" w:name="_Toc286493630"/>
      <w:bookmarkStart w:id="136" w:name="_Toc17296"/>
      <w:bookmarkStart w:id="137" w:name="_Toc286493632"/>
      <w:bookmarkStart w:id="138" w:name="_Toc208398654"/>
      <w:bookmarkStart w:id="139" w:name="_Toc194389867"/>
      <w:r>
        <w:rPr>
          <w:rFonts w:hint="eastAsia" w:ascii="黑体" w:hAnsi="宋体" w:eastAsia="黑体"/>
          <w:color w:val="000000" w:themeColor="text1"/>
          <w:kern w:val="3"/>
          <w:sz w:val="28"/>
          <w:szCs w:val="28"/>
        </w:rPr>
        <w:t>1.2.1</w:t>
      </w:r>
      <w:bookmarkEnd w:id="118"/>
      <w:bookmarkEnd w:id="119"/>
      <w:bookmarkEnd w:id="120"/>
      <w:bookmarkEnd w:id="121"/>
      <w:bookmarkEnd w:id="122"/>
      <w:bookmarkEnd w:id="123"/>
      <w:r>
        <w:rPr>
          <w:rFonts w:hint="eastAsia" w:ascii="黑体" w:hAnsi="宋体" w:eastAsia="黑体"/>
          <w:color w:val="000000" w:themeColor="text1"/>
          <w:kern w:val="3"/>
          <w:sz w:val="28"/>
          <w:szCs w:val="28"/>
        </w:rPr>
        <w:t>国家法律</w:t>
      </w:r>
      <w:bookmarkEnd w:id="124"/>
      <w:bookmarkEnd w:id="125"/>
      <w:bookmarkEnd w:id="126"/>
      <w:bookmarkEnd w:id="127"/>
      <w:bookmarkEnd w:id="128"/>
      <w:bookmarkEnd w:id="129"/>
      <w:bookmarkEnd w:id="130"/>
      <w:bookmarkEnd w:id="131"/>
      <w:bookmarkEnd w:id="132"/>
      <w:bookmarkEnd w:id="133"/>
      <w:bookmarkEnd w:id="134"/>
      <w:bookmarkEnd w:id="135"/>
      <w:bookmarkEnd w:id="136"/>
      <w:bookmarkStart w:id="140" w:name="_Toc28628"/>
      <w:bookmarkStart w:id="141" w:name="_Toc345765814"/>
      <w:bookmarkStart w:id="142" w:name="_Toc194389866"/>
      <w:bookmarkStart w:id="143" w:name="_Toc208398653"/>
    </w:p>
    <w:p>
      <w:pPr>
        <w:widowControl/>
        <w:numPr>
          <w:ilvl w:val="0"/>
          <w:numId w:val="2"/>
        </w:numPr>
        <w:tabs>
          <w:tab w:val="left" w:pos="900"/>
          <w:tab w:val="right" w:leader="dot" w:pos="8432"/>
        </w:tabs>
        <w:topLinePunct/>
        <w:adjustRightInd w:val="0"/>
        <w:snapToGrid w:val="0"/>
        <w:spacing w:line="500" w:lineRule="exact"/>
        <w:ind w:firstLine="560" w:firstLineChars="200"/>
        <w:rPr>
          <w:rFonts w:hint="eastAsia" w:ascii="新宋体" w:hAnsi="新宋体" w:eastAsia="新宋体"/>
          <w:sz w:val="28"/>
          <w:szCs w:val="20"/>
        </w:rPr>
      </w:pPr>
      <w:r>
        <w:rPr>
          <w:rFonts w:hint="eastAsia" w:ascii="新宋体" w:hAnsi="新宋体" w:eastAsia="新宋体"/>
          <w:sz w:val="28"/>
          <w:szCs w:val="20"/>
        </w:rPr>
        <w:t>《中华人民共和国安全生产法》（中华人民共和国主席令第</w:t>
      </w:r>
      <w:r>
        <w:rPr>
          <w:rFonts w:ascii="新宋体" w:hAnsi="新宋体" w:eastAsia="新宋体"/>
          <w:sz w:val="28"/>
          <w:szCs w:val="20"/>
        </w:rPr>
        <w:t>88</w:t>
      </w:r>
      <w:r>
        <w:rPr>
          <w:rFonts w:hint="eastAsia" w:ascii="新宋体" w:hAnsi="新宋体" w:eastAsia="新宋体"/>
          <w:sz w:val="28"/>
          <w:szCs w:val="20"/>
        </w:rPr>
        <w:t>号，20</w:t>
      </w:r>
      <w:r>
        <w:rPr>
          <w:rFonts w:ascii="新宋体" w:hAnsi="新宋体" w:eastAsia="新宋体"/>
          <w:sz w:val="28"/>
          <w:szCs w:val="20"/>
        </w:rPr>
        <w:t>21</w:t>
      </w:r>
      <w:r>
        <w:rPr>
          <w:rFonts w:hint="eastAsia" w:ascii="新宋体" w:hAnsi="新宋体" w:eastAsia="新宋体"/>
          <w:sz w:val="28"/>
          <w:szCs w:val="20"/>
        </w:rPr>
        <w:t>年</w:t>
      </w:r>
      <w:r>
        <w:rPr>
          <w:rFonts w:ascii="新宋体" w:hAnsi="新宋体" w:eastAsia="新宋体"/>
          <w:sz w:val="28"/>
          <w:szCs w:val="20"/>
        </w:rPr>
        <w:t>9</w:t>
      </w:r>
      <w:r>
        <w:rPr>
          <w:rFonts w:hint="eastAsia" w:ascii="新宋体" w:hAnsi="新宋体" w:eastAsia="新宋体"/>
          <w:sz w:val="28"/>
          <w:szCs w:val="20"/>
        </w:rPr>
        <w:t>月1日施行）；</w:t>
      </w:r>
    </w:p>
    <w:p>
      <w:pPr>
        <w:widowControl/>
        <w:numPr>
          <w:ilvl w:val="0"/>
          <w:numId w:val="2"/>
        </w:numPr>
        <w:tabs>
          <w:tab w:val="left" w:pos="900"/>
          <w:tab w:val="right" w:leader="dot" w:pos="8432"/>
        </w:tabs>
        <w:topLinePunct/>
        <w:adjustRightInd w:val="0"/>
        <w:snapToGrid w:val="0"/>
        <w:spacing w:line="500" w:lineRule="exact"/>
        <w:ind w:firstLine="560" w:firstLineChars="200"/>
        <w:rPr>
          <w:rFonts w:hint="eastAsia" w:ascii="新宋体" w:hAnsi="新宋体" w:eastAsia="新宋体"/>
          <w:sz w:val="28"/>
          <w:szCs w:val="20"/>
        </w:rPr>
      </w:pPr>
      <w:r>
        <w:rPr>
          <w:rFonts w:hint="eastAsia" w:ascii="新宋体" w:hAnsi="新宋体" w:eastAsia="新宋体"/>
          <w:sz w:val="28"/>
          <w:szCs w:val="20"/>
        </w:rPr>
        <w:t>《中华人民共和国消防法》（中华人民共和国主席令第81号，第十三届全国人民代表大会常务委员会第二十八次会议于2021年4月29日通过）；</w:t>
      </w:r>
    </w:p>
    <w:p>
      <w:pPr>
        <w:widowControl/>
        <w:numPr>
          <w:ilvl w:val="0"/>
          <w:numId w:val="2"/>
        </w:numPr>
        <w:tabs>
          <w:tab w:val="left" w:pos="900"/>
          <w:tab w:val="right" w:leader="dot" w:pos="8432"/>
        </w:tabs>
        <w:topLinePunct/>
        <w:adjustRightInd w:val="0"/>
        <w:snapToGrid w:val="0"/>
        <w:spacing w:line="500" w:lineRule="exact"/>
        <w:ind w:firstLine="560" w:firstLineChars="200"/>
        <w:rPr>
          <w:rFonts w:hint="eastAsia" w:ascii="新宋体" w:hAnsi="新宋体" w:eastAsia="新宋体"/>
          <w:sz w:val="28"/>
          <w:szCs w:val="20"/>
        </w:rPr>
      </w:pPr>
      <w:r>
        <w:rPr>
          <w:rFonts w:hint="eastAsia" w:ascii="新宋体" w:hAnsi="新宋体" w:eastAsia="新宋体"/>
          <w:sz w:val="28"/>
          <w:szCs w:val="20"/>
        </w:rPr>
        <w:t>《中华人民共和国职业病防治法》（中华人民共和国主席令第24号，根据2018年12月29日第十三届全国人民代表大会常务委员会第七次会议《关于修改等七部法律的决定》第四次修正，2018年12月29日起施行）；</w:t>
      </w:r>
    </w:p>
    <w:p>
      <w:pPr>
        <w:widowControl/>
        <w:numPr>
          <w:ilvl w:val="0"/>
          <w:numId w:val="2"/>
        </w:numPr>
        <w:tabs>
          <w:tab w:val="left" w:pos="900"/>
          <w:tab w:val="right" w:leader="dot" w:pos="8432"/>
        </w:tabs>
        <w:topLinePunct/>
        <w:adjustRightInd w:val="0"/>
        <w:snapToGrid w:val="0"/>
        <w:spacing w:line="500" w:lineRule="exact"/>
        <w:ind w:firstLine="560" w:firstLineChars="200"/>
        <w:rPr>
          <w:rFonts w:hint="eastAsia" w:ascii="新宋体" w:hAnsi="新宋体" w:eastAsia="新宋体"/>
          <w:sz w:val="28"/>
          <w:szCs w:val="20"/>
        </w:rPr>
      </w:pPr>
      <w:r>
        <w:rPr>
          <w:rFonts w:hint="eastAsia" w:ascii="新宋体" w:hAnsi="新宋体" w:eastAsia="新宋体"/>
          <w:sz w:val="28"/>
          <w:szCs w:val="20"/>
        </w:rPr>
        <w:t>《中华人民共和国气象法》（中华人民共和国主席令[1999]第2</w:t>
      </w:r>
      <w:r>
        <w:rPr>
          <w:rFonts w:ascii="新宋体" w:hAnsi="新宋体" w:eastAsia="新宋体"/>
          <w:sz w:val="28"/>
          <w:szCs w:val="20"/>
        </w:rPr>
        <w:t>3</w:t>
      </w:r>
      <w:r>
        <w:rPr>
          <w:rFonts w:hint="eastAsia" w:ascii="新宋体" w:hAnsi="新宋体" w:eastAsia="新宋体"/>
          <w:sz w:val="28"/>
          <w:szCs w:val="20"/>
        </w:rPr>
        <w:t>号，2016年11月7日第十二届全国人民代表大会常务委员会第二十四次会议《关于修改&lt;中华人民共和国对外贸易法&gt;等十二部法律的决定》第三次修正，2016年11月7日起施行）；</w:t>
      </w:r>
    </w:p>
    <w:p>
      <w:pPr>
        <w:widowControl/>
        <w:numPr>
          <w:ilvl w:val="0"/>
          <w:numId w:val="2"/>
        </w:numPr>
        <w:tabs>
          <w:tab w:val="left" w:pos="900"/>
          <w:tab w:val="right" w:leader="dot" w:pos="8432"/>
        </w:tabs>
        <w:topLinePunct/>
        <w:adjustRightInd w:val="0"/>
        <w:snapToGrid w:val="0"/>
        <w:spacing w:line="500" w:lineRule="exact"/>
        <w:ind w:firstLine="560" w:firstLineChars="200"/>
        <w:rPr>
          <w:rFonts w:hint="eastAsia" w:ascii="新宋体" w:hAnsi="新宋体" w:eastAsia="新宋体"/>
          <w:sz w:val="28"/>
          <w:szCs w:val="20"/>
        </w:rPr>
      </w:pPr>
      <w:r>
        <w:rPr>
          <w:rFonts w:hint="eastAsia" w:ascii="新宋体" w:hAnsi="新宋体" w:eastAsia="新宋体"/>
          <w:sz w:val="28"/>
          <w:szCs w:val="20"/>
        </w:rPr>
        <w:t>《中华人民共和国劳动法》（中华人民共和国主席令第2</w:t>
      </w:r>
      <w:r>
        <w:rPr>
          <w:rFonts w:ascii="新宋体" w:hAnsi="新宋体" w:eastAsia="新宋体"/>
          <w:sz w:val="28"/>
          <w:szCs w:val="20"/>
        </w:rPr>
        <w:t>8</w:t>
      </w:r>
      <w:r>
        <w:rPr>
          <w:rFonts w:hint="eastAsia" w:ascii="新宋体" w:hAnsi="新宋体" w:eastAsia="新宋体"/>
          <w:sz w:val="28"/>
          <w:szCs w:val="20"/>
        </w:rPr>
        <w:t>号，根据2018年12月29日第十三届全国人民代表大会常务委员会第七次会议《关于修改&lt;中华人民共和国劳动法〉等七部法律的决定》第二次修正，2018年12月29日起施行）；</w:t>
      </w:r>
    </w:p>
    <w:p>
      <w:pPr>
        <w:widowControl/>
        <w:numPr>
          <w:ilvl w:val="0"/>
          <w:numId w:val="2"/>
        </w:numPr>
        <w:tabs>
          <w:tab w:val="left" w:pos="900"/>
          <w:tab w:val="right" w:leader="dot" w:pos="8432"/>
        </w:tabs>
        <w:topLinePunct/>
        <w:adjustRightInd w:val="0"/>
        <w:snapToGrid w:val="0"/>
        <w:spacing w:line="500" w:lineRule="exact"/>
        <w:ind w:firstLine="560" w:firstLineChars="200"/>
        <w:rPr>
          <w:rFonts w:hint="eastAsia" w:ascii="新宋体" w:hAnsi="新宋体" w:eastAsia="新宋体"/>
          <w:sz w:val="28"/>
          <w:szCs w:val="20"/>
        </w:rPr>
      </w:pPr>
      <w:r>
        <w:rPr>
          <w:rFonts w:hint="eastAsia" w:ascii="新宋体" w:hAnsi="新宋体" w:eastAsia="新宋体"/>
          <w:sz w:val="28"/>
          <w:szCs w:val="20"/>
        </w:rPr>
        <w:t>《中华人民共和国突发事件应对法》（中华人民共和国主席令第</w:t>
      </w:r>
      <w:r>
        <w:rPr>
          <w:rFonts w:hint="eastAsia" w:ascii="新宋体" w:hAnsi="新宋体" w:eastAsia="新宋体"/>
          <w:sz w:val="28"/>
          <w:szCs w:val="20"/>
          <w:lang w:val="en-US" w:eastAsia="zh-CN"/>
        </w:rPr>
        <w:t>25</w:t>
      </w:r>
      <w:r>
        <w:rPr>
          <w:rFonts w:hint="eastAsia" w:ascii="新宋体" w:hAnsi="新宋体" w:eastAsia="新宋体"/>
          <w:sz w:val="28"/>
          <w:szCs w:val="20"/>
        </w:rPr>
        <w:t>号，2</w:t>
      </w:r>
      <w:r>
        <w:rPr>
          <w:rFonts w:hint="eastAsia" w:ascii="新宋体" w:hAnsi="新宋体" w:eastAsia="新宋体"/>
          <w:sz w:val="28"/>
          <w:szCs w:val="20"/>
          <w:lang w:val="en-US" w:eastAsia="zh-CN"/>
        </w:rPr>
        <w:t>024</w:t>
      </w:r>
      <w:r>
        <w:rPr>
          <w:rFonts w:hint="eastAsia" w:ascii="新宋体" w:hAnsi="新宋体" w:eastAsia="新宋体"/>
          <w:sz w:val="28"/>
          <w:szCs w:val="20"/>
        </w:rPr>
        <w:t>年11月1日施行）；</w:t>
      </w:r>
    </w:p>
    <w:p>
      <w:pPr>
        <w:widowControl/>
        <w:numPr>
          <w:ilvl w:val="0"/>
          <w:numId w:val="2"/>
        </w:numPr>
        <w:tabs>
          <w:tab w:val="left" w:pos="900"/>
          <w:tab w:val="right" w:leader="dot" w:pos="8432"/>
        </w:tabs>
        <w:topLinePunct/>
        <w:adjustRightInd w:val="0"/>
        <w:snapToGrid w:val="0"/>
        <w:spacing w:line="500" w:lineRule="exact"/>
        <w:ind w:firstLine="560" w:firstLineChars="200"/>
        <w:rPr>
          <w:rFonts w:hint="eastAsia" w:ascii="新宋体" w:hAnsi="新宋体" w:eastAsia="新宋体"/>
          <w:sz w:val="28"/>
          <w:szCs w:val="20"/>
        </w:rPr>
      </w:pPr>
      <w:r>
        <w:rPr>
          <w:rFonts w:hint="eastAsia" w:ascii="新宋体" w:hAnsi="新宋体" w:eastAsia="新宋体"/>
          <w:sz w:val="28"/>
          <w:szCs w:val="20"/>
        </w:rPr>
        <w:t>《中华人民共和国环境保护法》（中华人民共和国主席令第22号， 2014年4月24日第十二届全国人民代表大会常务委员会第八次会议修订，自2015年1月1日起施行）；</w:t>
      </w:r>
    </w:p>
    <w:p>
      <w:pPr>
        <w:widowControl/>
        <w:numPr>
          <w:ilvl w:val="0"/>
          <w:numId w:val="2"/>
        </w:numPr>
        <w:tabs>
          <w:tab w:val="left" w:pos="900"/>
          <w:tab w:val="right" w:leader="dot" w:pos="8432"/>
        </w:tabs>
        <w:topLinePunct/>
        <w:adjustRightInd w:val="0"/>
        <w:snapToGrid w:val="0"/>
        <w:spacing w:line="500" w:lineRule="exact"/>
        <w:ind w:firstLine="560" w:firstLineChars="200"/>
        <w:rPr>
          <w:rFonts w:hint="eastAsia" w:ascii="新宋体" w:hAnsi="新宋体" w:eastAsia="新宋体"/>
          <w:sz w:val="28"/>
          <w:szCs w:val="20"/>
        </w:rPr>
      </w:pPr>
      <w:r>
        <w:rPr>
          <w:rFonts w:hint="eastAsia" w:ascii="新宋体" w:hAnsi="新宋体" w:eastAsia="新宋体"/>
          <w:sz w:val="28"/>
          <w:szCs w:val="20"/>
        </w:rPr>
        <w:t>《中华人民共和国大气污染防治法》（中华人民共和国主席令第3</w:t>
      </w:r>
      <w:r>
        <w:rPr>
          <w:rFonts w:ascii="新宋体" w:hAnsi="新宋体" w:eastAsia="新宋体"/>
          <w:sz w:val="28"/>
          <w:szCs w:val="20"/>
        </w:rPr>
        <w:t>1</w:t>
      </w:r>
      <w:r>
        <w:rPr>
          <w:rFonts w:hint="eastAsia" w:ascii="新宋体" w:hAnsi="新宋体" w:eastAsia="新宋体"/>
          <w:sz w:val="28"/>
          <w:szCs w:val="20"/>
        </w:rPr>
        <w:t>号，根据2018年10月26日第十三届全国人民代表大会常务委员会第六次会议《关于修改〈中华人民共和国野生动物保护法〉等十五部法律的决定》第二次修正，2018年10月26日起施行）；</w:t>
      </w:r>
    </w:p>
    <w:p>
      <w:pPr>
        <w:widowControl/>
        <w:numPr>
          <w:ilvl w:val="0"/>
          <w:numId w:val="2"/>
        </w:numPr>
        <w:tabs>
          <w:tab w:val="left" w:pos="900"/>
          <w:tab w:val="right" w:leader="dot" w:pos="8432"/>
        </w:tabs>
        <w:topLinePunct/>
        <w:adjustRightInd w:val="0"/>
        <w:snapToGrid w:val="0"/>
        <w:spacing w:line="500" w:lineRule="exact"/>
        <w:ind w:firstLine="560" w:firstLineChars="200"/>
        <w:rPr>
          <w:rFonts w:ascii="新宋体" w:hAnsi="新宋体" w:eastAsia="新宋体"/>
          <w:snapToGrid w:val="0"/>
          <w:kern w:val="0"/>
          <w:sz w:val="28"/>
          <w:szCs w:val="20"/>
        </w:rPr>
      </w:pPr>
      <w:r>
        <w:rPr>
          <w:rFonts w:hint="eastAsia" w:ascii="新宋体" w:hAnsi="新宋体" w:eastAsia="新宋体"/>
          <w:sz w:val="28"/>
          <w:szCs w:val="20"/>
        </w:rPr>
        <w:t>《中华人民共和国水污染防治法》（中华人民共和国主席令第</w:t>
      </w:r>
      <w:r>
        <w:rPr>
          <w:rFonts w:ascii="新宋体" w:hAnsi="新宋体" w:eastAsia="新宋体"/>
          <w:sz w:val="28"/>
          <w:szCs w:val="20"/>
        </w:rPr>
        <w:t>87</w:t>
      </w:r>
      <w:r>
        <w:rPr>
          <w:rFonts w:hint="eastAsia" w:ascii="新宋体" w:hAnsi="新宋体" w:eastAsia="新宋体"/>
          <w:sz w:val="28"/>
          <w:szCs w:val="20"/>
        </w:rPr>
        <w:t>号，中华人民共和国水污染防治法第十二届全国人民代表大会常务委员会第二十八次会议修正，自2018年1月1日起施行）；</w:t>
      </w:r>
      <w:r>
        <w:rPr>
          <w:rFonts w:ascii="新宋体" w:hAnsi="新宋体" w:eastAsia="新宋体"/>
          <w:snapToGrid w:val="0"/>
          <w:kern w:val="0"/>
          <w:sz w:val="28"/>
          <w:szCs w:val="20"/>
        </w:rPr>
        <w:t xml:space="preserve"> </w:t>
      </w:r>
    </w:p>
    <w:p>
      <w:pPr>
        <w:numPr>
          <w:ilvl w:val="0"/>
          <w:numId w:val="2"/>
        </w:numPr>
        <w:snapToGrid w:val="0"/>
        <w:spacing w:line="500" w:lineRule="exact"/>
        <w:ind w:firstLine="560" w:firstLineChars="200"/>
        <w:rPr>
          <w:rFonts w:ascii="新宋体" w:hAnsi="新宋体" w:eastAsia="新宋体"/>
          <w:snapToGrid w:val="0"/>
          <w:kern w:val="0"/>
          <w:sz w:val="28"/>
          <w:szCs w:val="20"/>
        </w:rPr>
      </w:pPr>
      <w:r>
        <w:rPr>
          <w:rFonts w:hint="eastAsia" w:ascii="新宋体" w:hAnsi="新宋体" w:eastAsia="新宋体"/>
          <w:snapToGrid w:val="0"/>
          <w:kern w:val="0"/>
          <w:sz w:val="28"/>
          <w:szCs w:val="20"/>
        </w:rPr>
        <w:t>《中华人民共和国特种设备安全法》（中华人民共和国主席令第4号，自2014年1月1日施行）；</w:t>
      </w:r>
    </w:p>
    <w:p>
      <w:pPr>
        <w:numPr>
          <w:ilvl w:val="0"/>
          <w:numId w:val="2"/>
        </w:numPr>
        <w:snapToGrid w:val="0"/>
        <w:spacing w:line="500" w:lineRule="exact"/>
        <w:ind w:firstLine="560" w:firstLineChars="200"/>
        <w:rPr>
          <w:rFonts w:hint="eastAsia" w:ascii="新宋体" w:hAnsi="新宋体" w:eastAsia="新宋体"/>
          <w:snapToGrid w:val="0"/>
          <w:kern w:val="0"/>
          <w:sz w:val="28"/>
          <w:szCs w:val="20"/>
        </w:rPr>
      </w:pPr>
      <w:r>
        <w:rPr>
          <w:rFonts w:hint="eastAsia" w:ascii="新宋体" w:hAnsi="新宋体" w:eastAsia="新宋体"/>
          <w:snapToGrid w:val="0"/>
          <w:kern w:val="0"/>
          <w:sz w:val="28"/>
          <w:szCs w:val="20"/>
        </w:rPr>
        <w:t>《危险化学品安全管理条例》（</w:t>
      </w:r>
      <w:r>
        <w:rPr>
          <w:rFonts w:hint="eastAsia" w:ascii="新宋体" w:hAnsi="新宋体" w:eastAsia="新宋体"/>
          <w:snapToGrid w:val="0"/>
          <w:kern w:val="20"/>
          <w:sz w:val="28"/>
        </w:rPr>
        <w:t>国务院令第344号公布，第591号第一次修正，第645号第二次修正</w:t>
      </w:r>
      <w:r>
        <w:rPr>
          <w:rFonts w:hint="eastAsia" w:ascii="新宋体" w:hAnsi="新宋体" w:eastAsia="新宋体"/>
          <w:snapToGrid w:val="0"/>
          <w:kern w:val="0"/>
          <w:sz w:val="28"/>
          <w:szCs w:val="20"/>
        </w:rPr>
        <w:t>，实施日期：2011年12月1日）；</w:t>
      </w:r>
    </w:p>
    <w:p>
      <w:pPr>
        <w:numPr>
          <w:ilvl w:val="0"/>
          <w:numId w:val="2"/>
        </w:numPr>
        <w:snapToGrid w:val="0"/>
        <w:spacing w:line="500" w:lineRule="exact"/>
        <w:ind w:firstLine="560" w:firstLineChars="200"/>
        <w:rPr>
          <w:rFonts w:hint="eastAsia" w:ascii="新宋体" w:hAnsi="新宋体" w:eastAsia="新宋体"/>
          <w:snapToGrid w:val="0"/>
          <w:kern w:val="0"/>
          <w:sz w:val="28"/>
          <w:szCs w:val="20"/>
        </w:rPr>
      </w:pPr>
      <w:r>
        <w:rPr>
          <w:rFonts w:hint="eastAsia" w:ascii="新宋体" w:hAnsi="新宋体" w:eastAsia="新宋体"/>
          <w:snapToGrid w:val="0"/>
          <w:kern w:val="0"/>
          <w:sz w:val="28"/>
          <w:szCs w:val="20"/>
        </w:rPr>
        <w:t>《工伤保险条例》（国务院令第586号  实施日期：2013年1月1日）；</w:t>
      </w:r>
    </w:p>
    <w:p>
      <w:pPr>
        <w:numPr>
          <w:ilvl w:val="0"/>
          <w:numId w:val="2"/>
        </w:numPr>
        <w:snapToGrid w:val="0"/>
        <w:spacing w:line="500" w:lineRule="exact"/>
        <w:ind w:firstLine="560" w:firstLineChars="200"/>
        <w:rPr>
          <w:rFonts w:hint="eastAsia" w:ascii="新宋体" w:hAnsi="新宋体" w:eastAsia="新宋体"/>
          <w:snapToGrid w:val="0"/>
          <w:kern w:val="0"/>
          <w:sz w:val="28"/>
          <w:szCs w:val="20"/>
        </w:rPr>
      </w:pPr>
      <w:r>
        <w:rPr>
          <w:rFonts w:hint="eastAsia" w:ascii="新宋体" w:hAnsi="新宋体" w:eastAsia="新宋体"/>
          <w:snapToGrid w:val="0"/>
          <w:kern w:val="0"/>
          <w:sz w:val="28"/>
          <w:szCs w:val="20"/>
        </w:rPr>
        <w:t>《生产安全事故报告和调查处理条例》（国务院令第493号  实施日期：2007年6月1日）；</w:t>
      </w:r>
    </w:p>
    <w:p>
      <w:pPr>
        <w:numPr>
          <w:ilvl w:val="0"/>
          <w:numId w:val="2"/>
        </w:numPr>
        <w:snapToGrid w:val="0"/>
        <w:spacing w:line="500" w:lineRule="exact"/>
        <w:ind w:firstLine="560" w:firstLineChars="200"/>
        <w:rPr>
          <w:rFonts w:hint="eastAsia" w:ascii="新宋体" w:hAnsi="新宋体" w:eastAsia="新宋体"/>
          <w:snapToGrid w:val="0"/>
          <w:kern w:val="0"/>
          <w:sz w:val="28"/>
          <w:szCs w:val="20"/>
          <w:lang w:val="zh-CN"/>
        </w:rPr>
      </w:pPr>
      <w:r>
        <w:rPr>
          <w:rFonts w:hint="eastAsia" w:ascii="新宋体" w:hAnsi="新宋体" w:eastAsia="新宋体"/>
          <w:snapToGrid w:val="0"/>
          <w:kern w:val="0"/>
          <w:sz w:val="28"/>
          <w:szCs w:val="20"/>
        </w:rPr>
        <w:t>《生产安全事故应急条例》（国务院令第708号，2019年4月1日起施行）</w:t>
      </w:r>
    </w:p>
    <w:p>
      <w:pPr>
        <w:pStyle w:val="19"/>
        <w:spacing w:afterLines="100" w:line="500" w:lineRule="exact"/>
        <w:rPr>
          <w:rFonts w:hint="eastAsia" w:ascii="黑体" w:hAnsi="宋体" w:eastAsia="黑体"/>
          <w:color w:val="000000" w:themeColor="text1"/>
          <w:kern w:val="3"/>
          <w:sz w:val="28"/>
          <w:szCs w:val="28"/>
        </w:rPr>
      </w:pPr>
      <w:bookmarkStart w:id="144" w:name="_Toc30145"/>
      <w:bookmarkStart w:id="145" w:name="_Toc14081"/>
      <w:bookmarkStart w:id="146" w:name="_Toc29047"/>
      <w:bookmarkStart w:id="147" w:name="_Toc22642"/>
      <w:bookmarkStart w:id="148" w:name="_Toc16101"/>
      <w:bookmarkStart w:id="149" w:name="_Toc27520"/>
      <w:bookmarkStart w:id="150" w:name="_Toc14584"/>
      <w:bookmarkStart w:id="151" w:name="_Toc27974"/>
      <w:bookmarkStart w:id="152" w:name="_Toc22166"/>
      <w:bookmarkStart w:id="153" w:name="_Toc15588"/>
      <w:r>
        <w:rPr>
          <w:rFonts w:hint="eastAsia" w:ascii="黑体" w:hAnsi="宋体" w:eastAsia="黑体"/>
          <w:color w:val="000000" w:themeColor="text1"/>
          <w:kern w:val="3"/>
          <w:sz w:val="28"/>
          <w:szCs w:val="28"/>
        </w:rPr>
        <w:t>1.2.2</w:t>
      </w:r>
      <w:bookmarkEnd w:id="140"/>
      <w:bookmarkEnd w:id="141"/>
      <w:bookmarkEnd w:id="144"/>
      <w:bookmarkEnd w:id="145"/>
      <w:bookmarkEnd w:id="146"/>
      <w:bookmarkEnd w:id="147"/>
      <w:bookmarkEnd w:id="148"/>
      <w:bookmarkEnd w:id="149"/>
      <w:bookmarkEnd w:id="150"/>
      <w:bookmarkEnd w:id="151"/>
      <w:bookmarkEnd w:id="152"/>
      <w:bookmarkEnd w:id="153"/>
      <w:bookmarkStart w:id="154" w:name="_Toc6550"/>
      <w:bookmarkStart w:id="155" w:name="_Toc9644"/>
      <w:bookmarkStart w:id="156" w:name="_Toc24675"/>
      <w:bookmarkStart w:id="157" w:name="_Toc17380"/>
      <w:bookmarkStart w:id="158" w:name="_Toc24877"/>
      <w:bookmarkStart w:id="159" w:name="_Toc15645"/>
      <w:bookmarkStart w:id="160" w:name="_Toc345765815"/>
      <w:bookmarkStart w:id="161" w:name="_Toc10656"/>
      <w:bookmarkStart w:id="162" w:name="_Toc23194"/>
      <w:bookmarkStart w:id="163" w:name="_Toc17109"/>
      <w:bookmarkStart w:id="164" w:name="_Toc25240"/>
      <w:bookmarkStart w:id="165" w:name="_Toc26570"/>
      <w:r>
        <w:rPr>
          <w:rFonts w:hint="eastAsia" w:ascii="黑体" w:hAnsi="宋体" w:eastAsia="黑体"/>
          <w:color w:val="000000" w:themeColor="text1"/>
          <w:kern w:val="3"/>
          <w:sz w:val="28"/>
          <w:szCs w:val="28"/>
        </w:rPr>
        <w:t>部门规章</w:t>
      </w:r>
      <w:bookmarkEnd w:id="154"/>
      <w:bookmarkEnd w:id="155"/>
      <w:bookmarkEnd w:id="156"/>
      <w:bookmarkEnd w:id="157"/>
      <w:bookmarkEnd w:id="158"/>
      <w:bookmarkEnd w:id="159"/>
      <w:bookmarkEnd w:id="160"/>
      <w:bookmarkEnd w:id="161"/>
      <w:bookmarkEnd w:id="162"/>
      <w:bookmarkEnd w:id="163"/>
      <w:bookmarkEnd w:id="164"/>
      <w:bookmarkEnd w:id="165"/>
      <w:bookmarkStart w:id="166" w:name="_Toc345765816"/>
      <w:bookmarkStart w:id="167" w:name="_Toc24116"/>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sz w:val="28"/>
          <w:szCs w:val="20"/>
        </w:rPr>
      </w:pPr>
      <w:r>
        <w:rPr>
          <w:rFonts w:hint="eastAsia" w:ascii="新宋体" w:hAnsi="新宋体" w:eastAsia="新宋体"/>
          <w:sz w:val="28"/>
          <w:szCs w:val="20"/>
        </w:rPr>
        <w:t>《危险化学品经营许可证管理办法》（国家安监总局令第55号公布，第79号修正，自2015年７月１日起施行）；</w:t>
      </w:r>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sz w:val="28"/>
          <w:szCs w:val="20"/>
        </w:rPr>
      </w:pPr>
      <w:r>
        <w:rPr>
          <w:rFonts w:hint="eastAsia" w:ascii="新宋体" w:hAnsi="新宋体" w:eastAsia="新宋体"/>
          <w:sz w:val="28"/>
          <w:szCs w:val="20"/>
        </w:rPr>
        <w:t>《生产经营单位安全培训规定》（国家安监总局令第</w:t>
      </w:r>
      <w:r>
        <w:rPr>
          <w:rFonts w:ascii="新宋体" w:hAnsi="新宋体" w:eastAsia="新宋体"/>
          <w:sz w:val="28"/>
          <w:szCs w:val="20"/>
        </w:rPr>
        <w:t>3</w:t>
      </w:r>
      <w:r>
        <w:rPr>
          <w:rFonts w:hint="eastAsia" w:ascii="新宋体" w:hAnsi="新宋体" w:eastAsia="新宋体"/>
          <w:sz w:val="28"/>
          <w:szCs w:val="20"/>
        </w:rPr>
        <w:t>号公布，第80</w:t>
      </w:r>
      <w:r>
        <w:rPr>
          <w:rFonts w:hint="eastAsia" w:ascii="新宋体" w:hAnsi="新宋体" w:eastAsia="新宋体" w:cs="Tahoma"/>
          <w:bCs/>
          <w:sz w:val="28"/>
          <w:szCs w:val="28"/>
        </w:rPr>
        <w:t>号修正，自2015年7月1日起施行）；</w:t>
      </w:r>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sz w:val="28"/>
          <w:szCs w:val="20"/>
        </w:rPr>
      </w:pPr>
      <w:r>
        <w:rPr>
          <w:rFonts w:hint="eastAsia" w:ascii="新宋体" w:hAnsi="新宋体" w:eastAsia="新宋体"/>
          <w:sz w:val="28"/>
          <w:szCs w:val="28"/>
        </w:rPr>
        <w:t>《生产安全事故应急预案管理办法》（应急管理部令2号，2019年9月1日起施行</w:t>
      </w:r>
      <w:r>
        <w:rPr>
          <w:rFonts w:hint="eastAsia" w:ascii="新宋体" w:hAnsi="新宋体" w:eastAsia="新宋体"/>
          <w:sz w:val="28"/>
          <w:szCs w:val="20"/>
        </w:rPr>
        <w:t>）；</w:t>
      </w:r>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sz w:val="28"/>
          <w:szCs w:val="20"/>
        </w:rPr>
      </w:pPr>
      <w:r>
        <w:rPr>
          <w:snapToGrid w:val="0"/>
          <w:sz w:val="28"/>
          <w:szCs w:val="28"/>
        </w:rPr>
        <w:t>《企业安全生产费用提取和使用管理办法》</w:t>
      </w:r>
      <w:r>
        <w:rPr>
          <w:rFonts w:hint="eastAsia"/>
          <w:snapToGrid w:val="0"/>
          <w:sz w:val="28"/>
          <w:szCs w:val="28"/>
        </w:rPr>
        <w:t>（</w:t>
      </w:r>
      <w:r>
        <w:rPr>
          <w:snapToGrid w:val="0"/>
          <w:sz w:val="28"/>
          <w:szCs w:val="28"/>
        </w:rPr>
        <w:t>财资(2022）136号</w:t>
      </w:r>
      <w:r>
        <w:rPr>
          <w:rFonts w:hint="eastAsia"/>
          <w:snapToGrid w:val="0"/>
          <w:sz w:val="28"/>
          <w:szCs w:val="28"/>
        </w:rPr>
        <w:t>）；</w:t>
      </w:r>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sz w:val="28"/>
          <w:szCs w:val="28"/>
        </w:rPr>
      </w:pPr>
      <w:r>
        <w:rPr>
          <w:rFonts w:hint="eastAsia" w:ascii="新宋体" w:hAnsi="新宋体" w:eastAsia="新宋体"/>
          <w:sz w:val="28"/>
          <w:szCs w:val="20"/>
        </w:rPr>
        <w:t>《特种作业人员安全技术培训考核管理规定》（国家安监总局令第</w:t>
      </w:r>
      <w:r>
        <w:rPr>
          <w:rFonts w:ascii="新宋体" w:hAnsi="新宋体" w:eastAsia="新宋体"/>
          <w:sz w:val="28"/>
          <w:szCs w:val="20"/>
        </w:rPr>
        <w:t>30</w:t>
      </w:r>
      <w:r>
        <w:rPr>
          <w:rFonts w:hint="eastAsia" w:ascii="新宋体" w:hAnsi="新宋体" w:eastAsia="新宋体"/>
          <w:sz w:val="28"/>
          <w:szCs w:val="20"/>
        </w:rPr>
        <w:t>号公布，第80号修正</w:t>
      </w:r>
      <w:r>
        <w:rPr>
          <w:rFonts w:hint="eastAsia" w:ascii="新宋体" w:hAnsi="新宋体" w:eastAsia="新宋体" w:cs="Tahoma"/>
          <w:bCs/>
          <w:sz w:val="28"/>
          <w:szCs w:val="28"/>
        </w:rPr>
        <w:t>，自2015年7月1日起施行</w:t>
      </w:r>
      <w:r>
        <w:rPr>
          <w:rFonts w:hint="eastAsia" w:ascii="新宋体" w:hAnsi="新宋体" w:eastAsia="新宋体"/>
          <w:sz w:val="28"/>
          <w:szCs w:val="20"/>
        </w:rPr>
        <w:t>）；</w:t>
      </w:r>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cs="宋体"/>
          <w:kern w:val="0"/>
          <w:sz w:val="28"/>
          <w:szCs w:val="28"/>
        </w:rPr>
      </w:pPr>
      <w:r>
        <w:rPr>
          <w:rFonts w:hint="eastAsia" w:ascii="新宋体" w:hAnsi="新宋体" w:eastAsia="新宋体" w:cs="宋体"/>
          <w:kern w:val="0"/>
          <w:sz w:val="28"/>
          <w:szCs w:val="28"/>
        </w:rPr>
        <w:t>《危险化学品重大危险源监督管理暂行规定》（国家安全生产监督管理总局令第</w:t>
      </w:r>
      <w:r>
        <w:rPr>
          <w:rFonts w:ascii="新宋体" w:hAnsi="新宋体" w:eastAsia="新宋体" w:cs="宋体"/>
          <w:kern w:val="0"/>
          <w:sz w:val="28"/>
          <w:szCs w:val="28"/>
        </w:rPr>
        <w:t>40</w:t>
      </w:r>
      <w:r>
        <w:rPr>
          <w:rFonts w:hint="eastAsia" w:ascii="新宋体" w:hAnsi="新宋体" w:eastAsia="新宋体" w:cs="宋体"/>
          <w:kern w:val="0"/>
          <w:sz w:val="28"/>
          <w:szCs w:val="28"/>
        </w:rPr>
        <w:t>号发布，第79号修正</w:t>
      </w:r>
      <w:r>
        <w:rPr>
          <w:rFonts w:hint="eastAsia" w:ascii="新宋体" w:hAnsi="新宋体" w:eastAsia="新宋体"/>
          <w:sz w:val="28"/>
          <w:szCs w:val="20"/>
        </w:rPr>
        <w:t>，自2015年７月１日起施行</w:t>
      </w:r>
      <w:r>
        <w:rPr>
          <w:rFonts w:hint="eastAsia" w:ascii="新宋体" w:hAnsi="新宋体" w:eastAsia="新宋体" w:cs="宋体"/>
          <w:kern w:val="0"/>
          <w:sz w:val="28"/>
          <w:szCs w:val="28"/>
        </w:rPr>
        <w:t>）；</w:t>
      </w:r>
    </w:p>
    <w:p>
      <w:pPr>
        <w:numPr>
          <w:ilvl w:val="0"/>
          <w:numId w:val="3"/>
        </w:numPr>
        <w:tabs>
          <w:tab w:val="left" w:pos="900"/>
        </w:tabs>
        <w:adjustRightInd w:val="0"/>
        <w:snapToGrid w:val="0"/>
        <w:spacing w:line="500" w:lineRule="exact"/>
        <w:ind w:left="0" w:firstLine="560" w:firstLineChars="200"/>
        <w:jc w:val="left"/>
        <w:rPr>
          <w:rFonts w:hint="eastAsia" w:ascii="新宋体" w:hAnsi="新宋体" w:eastAsia="新宋体" w:cs="宋体"/>
          <w:kern w:val="0"/>
          <w:sz w:val="28"/>
          <w:szCs w:val="28"/>
        </w:rPr>
      </w:pPr>
      <w:r>
        <w:rPr>
          <w:rFonts w:hint="eastAsia" w:ascii="新宋体" w:hAnsi="新宋体" w:eastAsia="新宋体" w:cs="宋体"/>
          <w:kern w:val="0"/>
          <w:sz w:val="28"/>
          <w:szCs w:val="28"/>
        </w:rPr>
        <w:t>《安全生产培训管理办法》（国家安监总局令第</w:t>
      </w:r>
      <w:r>
        <w:rPr>
          <w:rFonts w:ascii="新宋体" w:hAnsi="新宋体" w:eastAsia="新宋体" w:cs="宋体"/>
          <w:kern w:val="0"/>
          <w:sz w:val="28"/>
          <w:szCs w:val="28"/>
        </w:rPr>
        <w:t>44</w:t>
      </w:r>
      <w:r>
        <w:rPr>
          <w:rFonts w:hint="eastAsia" w:ascii="新宋体" w:hAnsi="新宋体" w:eastAsia="新宋体" w:cs="宋体"/>
          <w:kern w:val="0"/>
          <w:sz w:val="28"/>
          <w:szCs w:val="28"/>
        </w:rPr>
        <w:t>号</w:t>
      </w:r>
      <w:r>
        <w:rPr>
          <w:rFonts w:hint="eastAsia" w:ascii="新宋体" w:hAnsi="新宋体" w:eastAsia="新宋体"/>
          <w:sz w:val="28"/>
          <w:szCs w:val="20"/>
        </w:rPr>
        <w:t>公布，第80号修正</w:t>
      </w:r>
      <w:r>
        <w:rPr>
          <w:rFonts w:hint="eastAsia" w:ascii="新宋体" w:hAnsi="新宋体" w:eastAsia="新宋体" w:cs="Tahoma"/>
          <w:bCs/>
          <w:sz w:val="28"/>
          <w:szCs w:val="28"/>
        </w:rPr>
        <w:t>，自2015年7月1日起施行</w:t>
      </w:r>
      <w:r>
        <w:rPr>
          <w:rFonts w:hint="eastAsia" w:ascii="新宋体" w:hAnsi="新宋体" w:eastAsia="新宋体" w:cs="宋体"/>
          <w:kern w:val="0"/>
          <w:sz w:val="28"/>
          <w:szCs w:val="28"/>
        </w:rPr>
        <w:t>）；</w:t>
      </w:r>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cs="宋体"/>
          <w:kern w:val="0"/>
          <w:sz w:val="28"/>
          <w:szCs w:val="28"/>
        </w:rPr>
      </w:pPr>
      <w:r>
        <w:rPr>
          <w:rFonts w:hint="eastAsia" w:ascii="新宋体" w:hAnsi="新宋体" w:eastAsia="新宋体" w:cs="宋体"/>
          <w:kern w:val="0"/>
          <w:sz w:val="28"/>
          <w:szCs w:val="28"/>
        </w:rPr>
        <w:t>《用人单位劳动防护用品管理规范》（安监总厅安健〔201</w:t>
      </w:r>
      <w:r>
        <w:rPr>
          <w:rFonts w:ascii="新宋体" w:hAnsi="新宋体" w:eastAsia="新宋体" w:cs="宋体"/>
          <w:kern w:val="0"/>
          <w:sz w:val="28"/>
          <w:szCs w:val="28"/>
        </w:rPr>
        <w:t>8</w:t>
      </w:r>
      <w:r>
        <w:rPr>
          <w:rFonts w:hint="eastAsia" w:ascii="新宋体" w:hAnsi="新宋体" w:eastAsia="新宋体" w:cs="宋体"/>
          <w:kern w:val="0"/>
          <w:sz w:val="28"/>
          <w:szCs w:val="28"/>
        </w:rPr>
        <w:t>〕</w:t>
      </w:r>
      <w:r>
        <w:rPr>
          <w:rFonts w:ascii="新宋体" w:hAnsi="新宋体" w:eastAsia="新宋体" w:cs="宋体"/>
          <w:kern w:val="0"/>
          <w:sz w:val="28"/>
          <w:szCs w:val="28"/>
        </w:rPr>
        <w:t>3</w:t>
      </w:r>
      <w:r>
        <w:rPr>
          <w:rFonts w:hint="eastAsia" w:ascii="新宋体" w:hAnsi="新宋体" w:eastAsia="新宋体" w:cs="宋体"/>
          <w:kern w:val="0"/>
          <w:sz w:val="28"/>
          <w:szCs w:val="28"/>
        </w:rPr>
        <w:t>号）；</w:t>
      </w:r>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sz w:val="28"/>
          <w:szCs w:val="20"/>
        </w:rPr>
      </w:pPr>
      <w:r>
        <w:rPr>
          <w:rFonts w:hint="eastAsia" w:ascii="新宋体" w:hAnsi="新宋体" w:eastAsia="新宋体"/>
          <w:sz w:val="28"/>
          <w:szCs w:val="20"/>
        </w:rPr>
        <w:t>《国家安全监管总局关于公布首批重点监管的危险化学品目录的通知》（安监总管三〔</w:t>
      </w:r>
      <w:r>
        <w:rPr>
          <w:rFonts w:ascii="新宋体" w:hAnsi="新宋体" w:eastAsia="新宋体"/>
          <w:sz w:val="28"/>
          <w:szCs w:val="20"/>
        </w:rPr>
        <w:t>2011</w:t>
      </w:r>
      <w:r>
        <w:rPr>
          <w:rFonts w:hint="eastAsia" w:ascii="新宋体" w:hAnsi="新宋体" w:eastAsia="新宋体"/>
          <w:sz w:val="28"/>
          <w:szCs w:val="20"/>
        </w:rPr>
        <w:t>〕</w:t>
      </w:r>
      <w:r>
        <w:rPr>
          <w:rFonts w:ascii="新宋体" w:hAnsi="新宋体" w:eastAsia="新宋体"/>
          <w:sz w:val="28"/>
          <w:szCs w:val="20"/>
        </w:rPr>
        <w:t>95</w:t>
      </w:r>
      <w:r>
        <w:rPr>
          <w:rFonts w:hint="eastAsia" w:ascii="新宋体" w:hAnsi="新宋体" w:eastAsia="新宋体"/>
          <w:sz w:val="28"/>
          <w:szCs w:val="20"/>
        </w:rPr>
        <w:t>号）；</w:t>
      </w:r>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sz w:val="28"/>
          <w:szCs w:val="20"/>
        </w:rPr>
      </w:pPr>
      <w:r>
        <w:rPr>
          <w:rFonts w:hint="eastAsia" w:ascii="新宋体" w:hAnsi="新宋体" w:eastAsia="新宋体"/>
          <w:sz w:val="28"/>
          <w:szCs w:val="20"/>
        </w:rPr>
        <w:t>《国家安全监管总局办公厅关于印发首批重点监管的危险化学品安全措施和应急处置原则的通知》（安监总厅管三〔</w:t>
      </w:r>
      <w:r>
        <w:rPr>
          <w:rFonts w:ascii="新宋体" w:hAnsi="新宋体" w:eastAsia="新宋体"/>
          <w:sz w:val="28"/>
          <w:szCs w:val="20"/>
        </w:rPr>
        <w:t>2011</w:t>
      </w:r>
      <w:r>
        <w:rPr>
          <w:rFonts w:hint="eastAsia" w:ascii="新宋体" w:hAnsi="新宋体" w:eastAsia="新宋体"/>
          <w:sz w:val="28"/>
          <w:szCs w:val="20"/>
        </w:rPr>
        <w:t>〕</w:t>
      </w:r>
      <w:r>
        <w:rPr>
          <w:rFonts w:ascii="新宋体" w:hAnsi="新宋体" w:eastAsia="新宋体"/>
          <w:sz w:val="28"/>
          <w:szCs w:val="20"/>
        </w:rPr>
        <w:t>142</w:t>
      </w:r>
      <w:r>
        <w:rPr>
          <w:rFonts w:hint="eastAsia" w:ascii="新宋体" w:hAnsi="新宋体" w:eastAsia="新宋体"/>
          <w:sz w:val="28"/>
          <w:szCs w:val="20"/>
        </w:rPr>
        <w:t>号）；</w:t>
      </w:r>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sz w:val="28"/>
          <w:szCs w:val="28"/>
        </w:rPr>
      </w:pPr>
      <w:r>
        <w:rPr>
          <w:rFonts w:hint="eastAsia" w:ascii="新宋体" w:hAnsi="新宋体" w:eastAsia="新宋体"/>
          <w:sz w:val="28"/>
          <w:szCs w:val="20"/>
        </w:rPr>
        <w:t>《机关、团体、企业、事业单位消防安全管理规定》（公安部令第</w:t>
      </w:r>
      <w:r>
        <w:rPr>
          <w:rFonts w:ascii="新宋体" w:hAnsi="新宋体" w:eastAsia="新宋体"/>
          <w:sz w:val="28"/>
          <w:szCs w:val="20"/>
        </w:rPr>
        <w:t>61</w:t>
      </w:r>
      <w:r>
        <w:rPr>
          <w:rFonts w:hint="eastAsia" w:ascii="新宋体" w:hAnsi="新宋体" w:eastAsia="新宋体"/>
          <w:sz w:val="28"/>
          <w:szCs w:val="20"/>
        </w:rPr>
        <w:t>号）；</w:t>
      </w:r>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sz w:val="28"/>
          <w:szCs w:val="28"/>
        </w:rPr>
      </w:pPr>
      <w:r>
        <w:rPr>
          <w:rFonts w:hint="eastAsia" w:ascii="新宋体" w:hAnsi="新宋体" w:eastAsia="新宋体"/>
          <w:sz w:val="28"/>
          <w:szCs w:val="28"/>
        </w:rPr>
        <w:t>《企业安全生产责任体系五落实五到位规定》（安监总办〔2015〕27号，</w:t>
      </w:r>
      <w:r>
        <w:rPr>
          <w:rFonts w:hint="eastAsia" w:ascii="新宋体" w:hAnsi="新宋体" w:eastAsia="新宋体" w:cs="Tahoma"/>
          <w:bCs/>
          <w:sz w:val="28"/>
          <w:szCs w:val="28"/>
        </w:rPr>
        <w:t>2015年3月16日公布</w:t>
      </w:r>
      <w:r>
        <w:rPr>
          <w:rFonts w:hint="eastAsia" w:ascii="新宋体" w:hAnsi="新宋体" w:eastAsia="新宋体"/>
          <w:sz w:val="28"/>
          <w:szCs w:val="28"/>
        </w:rPr>
        <w:t>）；</w:t>
      </w:r>
    </w:p>
    <w:p>
      <w:pPr>
        <w:numPr>
          <w:ilvl w:val="0"/>
          <w:numId w:val="3"/>
        </w:numPr>
        <w:tabs>
          <w:tab w:val="left" w:pos="900"/>
        </w:tabs>
        <w:adjustRightInd w:val="0"/>
        <w:snapToGrid w:val="0"/>
        <w:spacing w:line="500" w:lineRule="exact"/>
        <w:ind w:left="0" w:firstLine="560" w:firstLineChars="200"/>
        <w:jc w:val="left"/>
        <w:rPr>
          <w:rFonts w:hint="eastAsia" w:ascii="新宋体" w:hAnsi="新宋体" w:eastAsia="新宋体"/>
          <w:sz w:val="28"/>
          <w:szCs w:val="28"/>
        </w:rPr>
      </w:pPr>
      <w:r>
        <w:rPr>
          <w:rFonts w:hint="eastAsia" w:ascii="新宋体" w:hAnsi="新宋体" w:eastAsia="新宋体"/>
          <w:sz w:val="28"/>
          <w:szCs w:val="28"/>
        </w:rPr>
        <w:t>《国家安全监管总局办公厅关于进一步加强加油站安全生产工作的通知》（安监总厅管三〔</w:t>
      </w:r>
      <w:r>
        <w:rPr>
          <w:rFonts w:ascii="新宋体" w:hAnsi="新宋体" w:eastAsia="新宋体"/>
          <w:sz w:val="28"/>
          <w:szCs w:val="28"/>
        </w:rPr>
        <w:t>2016〕8号</w:t>
      </w:r>
      <w:r>
        <w:rPr>
          <w:rFonts w:hint="eastAsia" w:ascii="新宋体" w:hAnsi="新宋体" w:eastAsia="新宋体"/>
          <w:sz w:val="28"/>
          <w:szCs w:val="28"/>
        </w:rPr>
        <w:t>，自2016年2月5日起施行）；</w:t>
      </w:r>
    </w:p>
    <w:p>
      <w:pPr>
        <w:numPr>
          <w:ilvl w:val="0"/>
          <w:numId w:val="3"/>
        </w:numPr>
        <w:tabs>
          <w:tab w:val="left" w:pos="900"/>
        </w:tabs>
        <w:adjustRightInd w:val="0"/>
        <w:snapToGrid w:val="0"/>
        <w:spacing w:line="500" w:lineRule="exact"/>
        <w:ind w:left="0" w:firstLine="560" w:firstLineChars="200"/>
        <w:jc w:val="left"/>
        <w:rPr>
          <w:rFonts w:hint="eastAsia" w:ascii="新宋体" w:hAnsi="新宋体" w:eastAsia="新宋体"/>
          <w:sz w:val="28"/>
          <w:szCs w:val="28"/>
        </w:rPr>
      </w:pPr>
      <w:r>
        <w:rPr>
          <w:rFonts w:hint="eastAsia" w:ascii="新宋体" w:hAnsi="新宋体" w:eastAsia="新宋体"/>
          <w:sz w:val="28"/>
          <w:szCs w:val="28"/>
        </w:rPr>
        <w:t>《化工和危险化学品生产经营单位重大生产安全事故隐患判定标准（试行）》（安监总管三〔2017〕121号）；</w:t>
      </w:r>
    </w:p>
    <w:p>
      <w:pPr>
        <w:numPr>
          <w:ilvl w:val="0"/>
          <w:numId w:val="3"/>
        </w:numPr>
        <w:tabs>
          <w:tab w:val="left" w:pos="900"/>
        </w:tabs>
        <w:adjustRightInd w:val="0"/>
        <w:snapToGrid w:val="0"/>
        <w:spacing w:line="500" w:lineRule="exact"/>
        <w:ind w:left="0" w:firstLine="560" w:firstLineChars="200"/>
        <w:jc w:val="left"/>
        <w:rPr>
          <w:rFonts w:hint="eastAsia" w:ascii="新宋体" w:hAnsi="新宋体" w:eastAsia="新宋体"/>
          <w:sz w:val="28"/>
          <w:szCs w:val="28"/>
        </w:rPr>
      </w:pPr>
      <w:r>
        <w:rPr>
          <w:rFonts w:hint="eastAsia" w:ascii="宋体" w:hAnsi="宋体" w:cs="宋体"/>
          <w:sz w:val="28"/>
          <w:szCs w:val="28"/>
          <w:lang w:val="zh-CN"/>
        </w:rPr>
        <w:t>《危险化学品分类信息表》（安监总厅管三〔2015〕80号）；</w:t>
      </w:r>
    </w:p>
    <w:p>
      <w:pPr>
        <w:numPr>
          <w:ilvl w:val="0"/>
          <w:numId w:val="3"/>
        </w:numPr>
        <w:tabs>
          <w:tab w:val="left" w:pos="900"/>
        </w:tabs>
        <w:adjustRightInd w:val="0"/>
        <w:snapToGrid w:val="0"/>
        <w:spacing w:line="500" w:lineRule="exact"/>
        <w:ind w:left="0" w:firstLine="560" w:firstLineChars="200"/>
        <w:jc w:val="left"/>
        <w:rPr>
          <w:rFonts w:ascii="新宋体" w:hAnsi="新宋体" w:eastAsia="新宋体"/>
          <w:sz w:val="28"/>
          <w:szCs w:val="28"/>
        </w:rPr>
      </w:pPr>
      <w:r>
        <w:rPr>
          <w:rFonts w:hint="eastAsia" w:ascii="新宋体" w:hAnsi="新宋体" w:eastAsia="新宋体"/>
          <w:sz w:val="28"/>
          <w:szCs w:val="28"/>
        </w:rPr>
        <w:t>《应急管理部关于印发危险化学品生产储存企业安全风险</w:t>
      </w:r>
      <w:r>
        <w:rPr>
          <w:rFonts w:hint="eastAsia" w:ascii="新宋体" w:hAnsi="新宋体" w:eastAsia="新宋体"/>
          <w:sz w:val="28"/>
          <w:szCs w:val="28"/>
          <w:lang w:eastAsia="zh-CN"/>
        </w:rPr>
        <w:t>评价</w:t>
      </w:r>
      <w:r>
        <w:rPr>
          <w:rFonts w:hint="eastAsia" w:ascii="新宋体" w:hAnsi="新宋体" w:eastAsia="新宋体"/>
          <w:sz w:val="28"/>
          <w:szCs w:val="28"/>
        </w:rPr>
        <w:t>诊断分级指南（试行）》（应急〔2018〕19号）；</w:t>
      </w:r>
    </w:p>
    <w:p>
      <w:pPr>
        <w:numPr>
          <w:ilvl w:val="0"/>
          <w:numId w:val="3"/>
        </w:numPr>
        <w:tabs>
          <w:tab w:val="left" w:pos="900"/>
        </w:tabs>
        <w:adjustRightInd w:val="0"/>
        <w:snapToGrid w:val="0"/>
        <w:spacing w:line="500" w:lineRule="exact"/>
        <w:ind w:left="0" w:firstLine="560" w:firstLineChars="200"/>
        <w:jc w:val="left"/>
        <w:rPr>
          <w:rFonts w:hint="eastAsia" w:ascii="新宋体" w:hAnsi="新宋体" w:eastAsia="新宋体"/>
          <w:sz w:val="28"/>
          <w:szCs w:val="28"/>
        </w:rPr>
      </w:pPr>
      <w:r>
        <w:rPr>
          <w:rFonts w:hint="eastAsia"/>
          <w:color w:val="000000"/>
          <w:sz w:val="28"/>
          <w:szCs w:val="21"/>
        </w:rPr>
        <w:t>《生产安全事故罚款处罚规定》（应急管理部令第14号）</w:t>
      </w:r>
      <w:r>
        <w:rPr>
          <w:rFonts w:hint="eastAsia"/>
          <w:color w:val="000000"/>
          <w:sz w:val="28"/>
          <w:szCs w:val="21"/>
          <w:lang w:eastAsia="zh-CN"/>
        </w:rPr>
        <w:t>；</w:t>
      </w:r>
    </w:p>
    <w:p>
      <w:pPr>
        <w:numPr>
          <w:ilvl w:val="0"/>
          <w:numId w:val="4"/>
        </w:numPr>
        <w:tabs>
          <w:tab w:val="left" w:pos="980"/>
        </w:tabs>
        <w:autoSpaceDE w:val="0"/>
        <w:autoSpaceDN w:val="0"/>
        <w:adjustRightInd w:val="0"/>
        <w:spacing w:line="500" w:lineRule="exact"/>
        <w:ind w:firstLine="560"/>
        <w:rPr>
          <w:color w:val="000000" w:themeColor="text1"/>
          <w:sz w:val="28"/>
          <w:szCs w:val="28"/>
          <w:lang w:val="zh-CN"/>
        </w:rPr>
      </w:pPr>
      <w:r>
        <w:rPr>
          <w:rFonts w:hint="eastAsia"/>
          <w:color w:val="000000"/>
          <w:sz w:val="28"/>
          <w:szCs w:val="21"/>
          <w:lang w:eastAsia="zh-CN"/>
        </w:rPr>
        <w:t>《</w:t>
      </w:r>
      <w:r>
        <w:rPr>
          <w:rFonts w:hint="eastAsia"/>
          <w:color w:val="000000"/>
          <w:sz w:val="28"/>
          <w:szCs w:val="21"/>
          <w:lang w:val="en-US" w:eastAsia="zh-CN"/>
        </w:rPr>
        <w:t>安全生产责任保险实施办法</w:t>
      </w:r>
      <w:r>
        <w:rPr>
          <w:rFonts w:hint="eastAsia"/>
          <w:color w:val="000000"/>
          <w:sz w:val="28"/>
          <w:szCs w:val="21"/>
          <w:lang w:eastAsia="zh-CN"/>
        </w:rPr>
        <w:t>》（</w:t>
      </w:r>
      <w:r>
        <w:rPr>
          <w:rFonts w:hint="eastAsia"/>
          <w:color w:val="000000"/>
          <w:sz w:val="28"/>
          <w:szCs w:val="21"/>
          <w:lang w:val="en-US" w:eastAsia="zh-CN"/>
        </w:rPr>
        <w:t>应急【2025】27号</w:t>
      </w:r>
      <w:r>
        <w:rPr>
          <w:rFonts w:hint="eastAsia"/>
          <w:color w:val="000000"/>
          <w:sz w:val="28"/>
          <w:szCs w:val="21"/>
          <w:lang w:eastAsia="zh-CN"/>
        </w:rPr>
        <w:t>）。</w:t>
      </w:r>
    </w:p>
    <w:p>
      <w:pPr>
        <w:pStyle w:val="19"/>
        <w:spacing w:afterLines="100" w:line="500" w:lineRule="exact"/>
        <w:rPr>
          <w:rFonts w:ascii="黑体" w:hAnsi="宋体" w:eastAsia="黑体"/>
          <w:color w:val="000000" w:themeColor="text1"/>
          <w:kern w:val="3"/>
          <w:sz w:val="28"/>
          <w:szCs w:val="28"/>
        </w:rPr>
      </w:pPr>
      <w:bookmarkStart w:id="168" w:name="_Toc13625"/>
      <w:bookmarkStart w:id="169" w:name="_Toc21291"/>
      <w:bookmarkStart w:id="170" w:name="_Toc941"/>
      <w:bookmarkStart w:id="171" w:name="_Toc16771"/>
      <w:bookmarkStart w:id="172" w:name="_Toc6152"/>
      <w:bookmarkStart w:id="173" w:name="_Toc14274"/>
      <w:bookmarkStart w:id="174" w:name="_Toc32614"/>
      <w:bookmarkStart w:id="175" w:name="_Toc4151"/>
      <w:bookmarkStart w:id="176" w:name="_Toc32673"/>
      <w:bookmarkStart w:id="177" w:name="_Toc11669"/>
      <w:r>
        <w:rPr>
          <w:rFonts w:hint="eastAsia" w:ascii="黑体" w:hAnsi="宋体" w:eastAsia="黑体"/>
          <w:color w:val="000000" w:themeColor="text1"/>
          <w:kern w:val="3"/>
          <w:sz w:val="28"/>
          <w:szCs w:val="28"/>
        </w:rPr>
        <w:t>1.2.</w:t>
      </w:r>
      <w:r>
        <w:rPr>
          <w:rFonts w:hint="eastAsia" w:ascii="黑体" w:hAnsi="宋体" w:eastAsia="黑体"/>
          <w:color w:val="000000" w:themeColor="text1"/>
          <w:kern w:val="3"/>
          <w:sz w:val="28"/>
          <w:szCs w:val="28"/>
          <w:lang w:val="en-US" w:eastAsia="zh-CN"/>
        </w:rPr>
        <w:t>3</w:t>
      </w:r>
      <w:r>
        <w:rPr>
          <w:rFonts w:hint="eastAsia" w:ascii="黑体" w:hAnsi="宋体" w:eastAsia="黑体"/>
          <w:color w:val="000000" w:themeColor="text1"/>
          <w:kern w:val="3"/>
          <w:sz w:val="28"/>
          <w:szCs w:val="28"/>
        </w:rPr>
        <w:t>地方性法规及文件</w:t>
      </w:r>
      <w:bookmarkEnd w:id="166"/>
      <w:bookmarkEnd w:id="167"/>
      <w:bookmarkEnd w:id="168"/>
      <w:bookmarkEnd w:id="169"/>
      <w:bookmarkEnd w:id="170"/>
      <w:bookmarkEnd w:id="171"/>
      <w:bookmarkEnd w:id="172"/>
      <w:bookmarkEnd w:id="173"/>
      <w:bookmarkEnd w:id="174"/>
      <w:bookmarkEnd w:id="175"/>
      <w:bookmarkEnd w:id="176"/>
      <w:bookmarkEnd w:id="177"/>
    </w:p>
    <w:p>
      <w:pPr>
        <w:numPr>
          <w:ilvl w:val="0"/>
          <w:numId w:val="5"/>
        </w:numPr>
        <w:tabs>
          <w:tab w:val="right" w:pos="8306"/>
        </w:tabs>
        <w:adjustRightInd w:val="0"/>
        <w:snapToGrid w:val="0"/>
        <w:spacing w:line="500" w:lineRule="exact"/>
        <w:ind w:firstLine="560" w:firstLineChars="200"/>
        <w:jc w:val="left"/>
        <w:rPr>
          <w:rFonts w:ascii="新宋体" w:hAnsi="新宋体" w:eastAsia="新宋体"/>
          <w:sz w:val="28"/>
          <w:szCs w:val="28"/>
        </w:rPr>
      </w:pPr>
      <w:bookmarkStart w:id="178" w:name="_Toc286493631"/>
      <w:bookmarkStart w:id="179" w:name="_Toc30486"/>
      <w:bookmarkStart w:id="180" w:name="_Toc11337"/>
      <w:bookmarkStart w:id="181" w:name="_Toc15573"/>
      <w:bookmarkStart w:id="182" w:name="_Toc26829"/>
      <w:bookmarkStart w:id="183" w:name="_Toc345765817"/>
      <w:bookmarkStart w:id="184" w:name="_Toc23818"/>
      <w:bookmarkStart w:id="185" w:name="_Toc23557"/>
      <w:bookmarkStart w:id="186" w:name="_Toc6495"/>
      <w:bookmarkStart w:id="187" w:name="_Toc12627"/>
      <w:bookmarkStart w:id="188" w:name="_Toc22683"/>
      <w:bookmarkStart w:id="189" w:name="_Toc27263"/>
      <w:bookmarkStart w:id="190" w:name="_Toc2561"/>
      <w:r>
        <w:rPr>
          <w:rFonts w:hint="eastAsia" w:ascii="新宋体" w:hAnsi="新宋体" w:eastAsia="新宋体"/>
          <w:sz w:val="28"/>
          <w:szCs w:val="21"/>
        </w:rPr>
        <w:t>《云南省安全生产条例》（云南省第十二届人民代表大会常务委员会公告第（63）号，</w:t>
      </w:r>
      <w:r>
        <w:rPr>
          <w:rFonts w:ascii="新宋体" w:hAnsi="新宋体" w:eastAsia="新宋体"/>
          <w:sz w:val="28"/>
          <w:szCs w:val="21"/>
        </w:rPr>
        <w:t>20</w:t>
      </w:r>
      <w:r>
        <w:rPr>
          <w:rFonts w:hint="eastAsia" w:ascii="新宋体" w:hAnsi="新宋体" w:eastAsia="新宋体"/>
          <w:sz w:val="28"/>
          <w:szCs w:val="21"/>
        </w:rPr>
        <w:t>1</w:t>
      </w:r>
      <w:r>
        <w:rPr>
          <w:rFonts w:ascii="新宋体" w:hAnsi="新宋体" w:eastAsia="新宋体"/>
          <w:sz w:val="28"/>
          <w:szCs w:val="21"/>
        </w:rPr>
        <w:t>8</w:t>
      </w:r>
      <w:r>
        <w:rPr>
          <w:rFonts w:hint="eastAsia" w:ascii="新宋体" w:hAnsi="新宋体" w:eastAsia="新宋体"/>
          <w:sz w:val="28"/>
          <w:szCs w:val="21"/>
        </w:rPr>
        <w:t>年</w:t>
      </w:r>
      <w:r>
        <w:rPr>
          <w:rFonts w:ascii="新宋体" w:hAnsi="新宋体" w:eastAsia="新宋体"/>
          <w:sz w:val="28"/>
          <w:szCs w:val="21"/>
        </w:rPr>
        <w:t>1</w:t>
      </w:r>
      <w:r>
        <w:rPr>
          <w:rFonts w:hint="eastAsia" w:ascii="新宋体" w:hAnsi="新宋体" w:eastAsia="新宋体"/>
          <w:sz w:val="28"/>
          <w:szCs w:val="21"/>
        </w:rPr>
        <w:t>月</w:t>
      </w:r>
      <w:r>
        <w:rPr>
          <w:rFonts w:ascii="新宋体" w:hAnsi="新宋体" w:eastAsia="新宋体"/>
          <w:sz w:val="28"/>
          <w:szCs w:val="21"/>
        </w:rPr>
        <w:t>1</w:t>
      </w:r>
      <w:r>
        <w:rPr>
          <w:rFonts w:hint="eastAsia" w:ascii="新宋体" w:hAnsi="新宋体" w:eastAsia="新宋体"/>
          <w:sz w:val="28"/>
          <w:szCs w:val="21"/>
        </w:rPr>
        <w:t>日起施行）；</w:t>
      </w:r>
    </w:p>
    <w:p>
      <w:pPr>
        <w:numPr>
          <w:ilvl w:val="0"/>
          <w:numId w:val="5"/>
        </w:numPr>
        <w:tabs>
          <w:tab w:val="right" w:pos="8306"/>
        </w:tabs>
        <w:adjustRightInd w:val="0"/>
        <w:snapToGrid w:val="0"/>
        <w:spacing w:line="500" w:lineRule="exact"/>
        <w:ind w:firstLine="560" w:firstLineChars="200"/>
        <w:jc w:val="left"/>
        <w:rPr>
          <w:rFonts w:ascii="新宋体" w:hAnsi="新宋体" w:eastAsia="新宋体"/>
          <w:sz w:val="28"/>
          <w:szCs w:val="21"/>
        </w:rPr>
      </w:pPr>
      <w:r>
        <w:rPr>
          <w:rFonts w:hint="eastAsia" w:ascii="新宋体" w:hAnsi="新宋体" w:eastAsia="新宋体"/>
          <w:sz w:val="28"/>
          <w:szCs w:val="21"/>
        </w:rPr>
        <w:t>《关于在全省高危行业推行人身意外伤害保险的通知》（云安监管</w:t>
      </w:r>
      <w:r>
        <w:rPr>
          <w:rFonts w:ascii="新宋体" w:hAnsi="新宋体" w:eastAsia="新宋体"/>
          <w:sz w:val="28"/>
          <w:szCs w:val="21"/>
        </w:rPr>
        <w:t>[2008]102</w:t>
      </w:r>
      <w:r>
        <w:rPr>
          <w:rFonts w:hint="eastAsia" w:ascii="新宋体" w:hAnsi="新宋体" w:eastAsia="新宋体"/>
          <w:sz w:val="28"/>
          <w:szCs w:val="21"/>
        </w:rPr>
        <w:t>号）；</w:t>
      </w:r>
    </w:p>
    <w:p>
      <w:pPr>
        <w:numPr>
          <w:ilvl w:val="0"/>
          <w:numId w:val="5"/>
        </w:numPr>
        <w:tabs>
          <w:tab w:val="right" w:pos="8306"/>
        </w:tabs>
        <w:adjustRightInd w:val="0"/>
        <w:snapToGrid w:val="0"/>
        <w:spacing w:line="500" w:lineRule="exact"/>
        <w:ind w:firstLine="560" w:firstLineChars="200"/>
        <w:jc w:val="left"/>
        <w:rPr>
          <w:rFonts w:ascii="新宋体" w:hAnsi="新宋体" w:eastAsia="新宋体"/>
          <w:sz w:val="28"/>
          <w:szCs w:val="21"/>
        </w:rPr>
      </w:pPr>
      <w:r>
        <w:rPr>
          <w:rFonts w:hint="eastAsia" w:ascii="新宋体" w:hAnsi="新宋体" w:eastAsia="新宋体"/>
          <w:sz w:val="28"/>
          <w:szCs w:val="28"/>
        </w:rPr>
        <w:t>《云南省人民政府贯彻落实国务院关于进一步加强企业安全生产工作通知的实施意见》（云政发</w:t>
      </w:r>
      <w:r>
        <w:rPr>
          <w:rFonts w:ascii="新宋体" w:hAnsi="新宋体" w:eastAsia="新宋体"/>
          <w:sz w:val="28"/>
          <w:szCs w:val="28"/>
        </w:rPr>
        <w:t>[2010]157</w:t>
      </w:r>
      <w:r>
        <w:rPr>
          <w:rFonts w:hint="eastAsia" w:ascii="新宋体" w:hAnsi="新宋体" w:eastAsia="新宋体"/>
          <w:sz w:val="28"/>
          <w:szCs w:val="28"/>
        </w:rPr>
        <w:t>号）；</w:t>
      </w:r>
    </w:p>
    <w:p>
      <w:pPr>
        <w:numPr>
          <w:ilvl w:val="0"/>
          <w:numId w:val="5"/>
        </w:numPr>
        <w:tabs>
          <w:tab w:val="right" w:pos="8306"/>
        </w:tabs>
        <w:adjustRightInd w:val="0"/>
        <w:snapToGrid w:val="0"/>
        <w:spacing w:line="500" w:lineRule="exact"/>
        <w:ind w:firstLine="560" w:firstLineChars="200"/>
        <w:jc w:val="left"/>
        <w:rPr>
          <w:rFonts w:ascii="新宋体" w:hAnsi="新宋体" w:eastAsia="新宋体"/>
          <w:snapToGrid w:val="0"/>
          <w:sz w:val="28"/>
          <w:szCs w:val="28"/>
        </w:rPr>
      </w:pPr>
      <w:r>
        <w:rPr>
          <w:rFonts w:hint="eastAsia" w:ascii="新宋体" w:hAnsi="新宋体" w:eastAsia="新宋体"/>
          <w:snapToGrid w:val="0"/>
          <w:sz w:val="28"/>
          <w:szCs w:val="28"/>
        </w:rPr>
        <w:t>《云南省人民政府办公厅关于进一步加强危险化学品企业安全生产工作的实施意见》（云政办发</w:t>
      </w:r>
      <w:r>
        <w:rPr>
          <w:rFonts w:ascii="新宋体" w:hAnsi="新宋体" w:eastAsia="新宋体"/>
          <w:snapToGrid w:val="0"/>
          <w:sz w:val="28"/>
          <w:szCs w:val="28"/>
        </w:rPr>
        <w:t>[2011]112</w:t>
      </w:r>
      <w:r>
        <w:rPr>
          <w:rFonts w:hint="eastAsia" w:ascii="新宋体" w:hAnsi="新宋体" w:eastAsia="新宋体"/>
          <w:snapToGrid w:val="0"/>
          <w:sz w:val="28"/>
          <w:szCs w:val="28"/>
        </w:rPr>
        <w:t>号）；</w:t>
      </w:r>
    </w:p>
    <w:p>
      <w:pPr>
        <w:numPr>
          <w:ilvl w:val="0"/>
          <w:numId w:val="5"/>
        </w:numPr>
        <w:tabs>
          <w:tab w:val="right" w:pos="8306"/>
        </w:tabs>
        <w:adjustRightInd w:val="0"/>
        <w:snapToGrid w:val="0"/>
        <w:spacing w:line="500" w:lineRule="exact"/>
        <w:ind w:firstLine="560" w:firstLineChars="200"/>
        <w:jc w:val="left"/>
        <w:rPr>
          <w:rFonts w:ascii="新宋体" w:hAnsi="新宋体" w:eastAsia="新宋体"/>
          <w:snapToGrid w:val="0"/>
          <w:sz w:val="28"/>
          <w:szCs w:val="28"/>
        </w:rPr>
      </w:pPr>
      <w:r>
        <w:rPr>
          <w:rFonts w:hint="eastAsia" w:ascii="新宋体" w:hAnsi="新宋体" w:eastAsia="新宋体"/>
          <w:sz w:val="28"/>
          <w:szCs w:val="28"/>
        </w:rPr>
        <w:t>《云南省人民政府关于印发云南省生产经营单位安全生产主体责任规定的通知》(云政规〔2022〕4号)；</w:t>
      </w:r>
    </w:p>
    <w:p>
      <w:pPr>
        <w:numPr>
          <w:ilvl w:val="0"/>
          <w:numId w:val="5"/>
        </w:numPr>
        <w:tabs>
          <w:tab w:val="right" w:pos="8306"/>
        </w:tabs>
        <w:adjustRightInd w:val="0"/>
        <w:snapToGrid w:val="0"/>
        <w:spacing w:line="500" w:lineRule="exact"/>
        <w:ind w:firstLine="560" w:firstLineChars="200"/>
        <w:jc w:val="left"/>
        <w:rPr>
          <w:rFonts w:hint="eastAsia" w:ascii="新宋体" w:hAnsi="新宋体" w:eastAsia="新宋体"/>
          <w:snapToGrid w:val="0"/>
          <w:kern w:val="20"/>
          <w:sz w:val="28"/>
        </w:rPr>
      </w:pPr>
      <w:r>
        <w:rPr>
          <w:rFonts w:hint="eastAsia" w:ascii="新宋体" w:hAnsi="新宋体" w:eastAsia="新宋体"/>
          <w:snapToGrid w:val="0"/>
          <w:sz w:val="28"/>
          <w:szCs w:val="28"/>
        </w:rPr>
        <w:t>《</w:t>
      </w:r>
      <w:r>
        <w:rPr>
          <w:rFonts w:hint="eastAsia" w:ascii="新宋体" w:hAnsi="新宋体" w:eastAsia="新宋体"/>
          <w:snapToGrid w:val="0"/>
          <w:kern w:val="20"/>
          <w:sz w:val="28"/>
        </w:rPr>
        <w:t>云南省安全生产监督管理局关于危险化学品经营行政许可有关事项的通知》（云安监管〔2013〕13号）；</w:t>
      </w:r>
    </w:p>
    <w:p>
      <w:pPr>
        <w:numPr>
          <w:ilvl w:val="0"/>
          <w:numId w:val="5"/>
        </w:numPr>
        <w:tabs>
          <w:tab w:val="right" w:pos="8306"/>
        </w:tabs>
        <w:adjustRightInd w:val="0"/>
        <w:snapToGrid w:val="0"/>
        <w:spacing w:line="500" w:lineRule="exact"/>
        <w:ind w:firstLine="560" w:firstLineChars="200"/>
        <w:jc w:val="left"/>
        <w:rPr>
          <w:rFonts w:hint="eastAsia"/>
          <w:snapToGrid w:val="0"/>
          <w:sz w:val="28"/>
          <w:szCs w:val="28"/>
        </w:rPr>
      </w:pPr>
      <w:r>
        <w:rPr>
          <w:rFonts w:hint="eastAsia"/>
          <w:snapToGrid w:val="0"/>
          <w:sz w:val="28"/>
          <w:szCs w:val="28"/>
        </w:rPr>
        <w:t>《关于印发云南省危险化学品生产（储存）企业安全风险分级标准和安全风险分级指导标准的通知》（云安监管〔2017〕75号）；</w:t>
      </w:r>
    </w:p>
    <w:p>
      <w:pPr>
        <w:numPr>
          <w:ilvl w:val="0"/>
          <w:numId w:val="5"/>
        </w:numPr>
        <w:tabs>
          <w:tab w:val="right" w:pos="8306"/>
        </w:tabs>
        <w:adjustRightInd w:val="0"/>
        <w:snapToGrid w:val="0"/>
        <w:spacing w:line="500" w:lineRule="exact"/>
        <w:ind w:firstLine="560" w:firstLineChars="200"/>
        <w:jc w:val="left"/>
        <w:rPr>
          <w:snapToGrid w:val="0"/>
          <w:sz w:val="28"/>
          <w:szCs w:val="28"/>
        </w:rPr>
      </w:pPr>
      <w:r>
        <w:rPr>
          <w:rFonts w:hint="eastAsia"/>
          <w:sz w:val="28"/>
          <w:szCs w:val="28"/>
        </w:rPr>
        <w:t>《云南省安全生产监督管理局转发应急管理部关于印发危险化学品生产储存企业安全风险</w:t>
      </w:r>
      <w:r>
        <w:rPr>
          <w:rFonts w:hint="eastAsia"/>
          <w:sz w:val="28"/>
          <w:szCs w:val="28"/>
          <w:lang w:eastAsia="zh-CN"/>
        </w:rPr>
        <w:t>评价</w:t>
      </w:r>
      <w:r>
        <w:rPr>
          <w:rFonts w:hint="eastAsia"/>
          <w:sz w:val="28"/>
          <w:szCs w:val="28"/>
        </w:rPr>
        <w:t>诊断分级指南（试行）的通知》（（云安监管〔2018〕29号）；</w:t>
      </w:r>
    </w:p>
    <w:p>
      <w:pPr>
        <w:numPr>
          <w:ilvl w:val="0"/>
          <w:numId w:val="5"/>
        </w:numPr>
        <w:tabs>
          <w:tab w:val="right" w:pos="8306"/>
        </w:tabs>
        <w:adjustRightInd w:val="0"/>
        <w:snapToGrid w:val="0"/>
        <w:spacing w:line="500" w:lineRule="exact"/>
        <w:ind w:firstLine="560" w:firstLineChars="200"/>
        <w:jc w:val="left"/>
        <w:rPr>
          <w:rFonts w:hint="eastAsia"/>
          <w:snapToGrid w:val="0"/>
          <w:sz w:val="28"/>
          <w:szCs w:val="28"/>
        </w:rPr>
      </w:pPr>
      <w:r>
        <w:rPr>
          <w:snapToGrid w:val="0"/>
          <w:color w:val="000000"/>
          <w:kern w:val="0"/>
          <w:sz w:val="28"/>
          <w:szCs w:val="28"/>
        </w:rPr>
        <w:t>《云南省生产安全事故应急办法》</w:t>
      </w:r>
      <w:r>
        <w:rPr>
          <w:rFonts w:hint="eastAsia"/>
          <w:snapToGrid w:val="0"/>
          <w:color w:val="000000"/>
          <w:kern w:val="0"/>
          <w:sz w:val="28"/>
          <w:szCs w:val="28"/>
        </w:rPr>
        <w:t>（</w:t>
      </w:r>
      <w:r>
        <w:rPr>
          <w:snapToGrid w:val="0"/>
          <w:color w:val="000000"/>
          <w:kern w:val="0"/>
          <w:sz w:val="28"/>
          <w:szCs w:val="28"/>
        </w:rPr>
        <w:t>云南省人民政府令第227号</w:t>
      </w:r>
      <w:r>
        <w:rPr>
          <w:rFonts w:hint="eastAsia"/>
          <w:snapToGrid w:val="0"/>
          <w:color w:val="000000"/>
          <w:kern w:val="0"/>
          <w:sz w:val="28"/>
          <w:szCs w:val="28"/>
        </w:rPr>
        <w:t>）。</w:t>
      </w: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1.2.</w:t>
      </w:r>
      <w:r>
        <w:rPr>
          <w:rFonts w:hint="eastAsia" w:ascii="黑体" w:hAnsi="宋体" w:eastAsia="黑体"/>
          <w:color w:val="000000" w:themeColor="text1"/>
          <w:kern w:val="3"/>
          <w:sz w:val="28"/>
          <w:szCs w:val="28"/>
          <w:lang w:val="en-US" w:eastAsia="zh-CN"/>
        </w:rPr>
        <w:t>4</w:t>
      </w:r>
      <w:r>
        <w:rPr>
          <w:rFonts w:hint="eastAsia" w:ascii="黑体" w:hAnsi="宋体" w:eastAsia="黑体"/>
          <w:color w:val="000000" w:themeColor="text1"/>
          <w:kern w:val="3"/>
          <w:sz w:val="28"/>
          <w:szCs w:val="28"/>
        </w:rPr>
        <w:t>国家</w:t>
      </w:r>
      <w:bookmarkEnd w:id="142"/>
      <w:bookmarkEnd w:id="143"/>
      <w:bookmarkEnd w:id="178"/>
      <w:r>
        <w:rPr>
          <w:rFonts w:hint="eastAsia" w:ascii="黑体" w:hAnsi="宋体" w:eastAsia="黑体"/>
          <w:color w:val="000000" w:themeColor="text1"/>
          <w:kern w:val="3"/>
          <w:sz w:val="28"/>
          <w:szCs w:val="28"/>
        </w:rPr>
        <w:t>标准</w:t>
      </w:r>
      <w:bookmarkEnd w:id="179"/>
      <w:bookmarkEnd w:id="180"/>
      <w:bookmarkEnd w:id="181"/>
      <w:bookmarkEnd w:id="182"/>
      <w:bookmarkEnd w:id="183"/>
      <w:bookmarkEnd w:id="184"/>
      <w:bookmarkEnd w:id="185"/>
      <w:bookmarkEnd w:id="186"/>
      <w:bookmarkEnd w:id="187"/>
      <w:bookmarkEnd w:id="188"/>
      <w:bookmarkEnd w:id="189"/>
      <w:bookmarkEnd w:id="190"/>
      <w:bookmarkStart w:id="191" w:name="_Toc345765818"/>
      <w:bookmarkStart w:id="192" w:name="_Toc1305"/>
    </w:p>
    <w:p>
      <w:pPr>
        <w:numPr>
          <w:ilvl w:val="0"/>
          <w:numId w:val="6"/>
        </w:numPr>
        <w:adjustRightInd w:val="0"/>
        <w:snapToGrid w:val="0"/>
        <w:spacing w:line="500" w:lineRule="exact"/>
        <w:ind w:firstLine="560"/>
        <w:rPr>
          <w:color w:val="000000" w:themeColor="text1"/>
          <w:sz w:val="28"/>
          <w:szCs w:val="28"/>
          <w:lang w:val="zh-CN"/>
        </w:rPr>
      </w:pPr>
      <w:r>
        <w:rPr>
          <w:color w:val="000000" w:themeColor="text1"/>
          <w:sz w:val="28"/>
          <w:szCs w:val="28"/>
          <w:lang w:val="zh-CN"/>
        </w:rPr>
        <w:t>《建筑设计防火规范（2018年版）》（GB50016-2014）</w:t>
      </w:r>
      <w:r>
        <w:rPr>
          <w:rFonts w:hint="eastAsia"/>
          <w:color w:val="000000" w:themeColor="text1"/>
          <w:sz w:val="28"/>
          <w:szCs w:val="28"/>
          <w:lang w:val="zh-CN"/>
        </w:rPr>
        <w:t>；</w:t>
      </w:r>
    </w:p>
    <w:p>
      <w:pPr>
        <w:numPr>
          <w:ilvl w:val="0"/>
          <w:numId w:val="6"/>
        </w:numPr>
        <w:adjustRightInd w:val="0"/>
        <w:snapToGrid w:val="0"/>
        <w:spacing w:line="500" w:lineRule="exact"/>
        <w:ind w:firstLine="560"/>
        <w:rPr>
          <w:color w:val="000000" w:themeColor="text1"/>
          <w:sz w:val="28"/>
          <w:szCs w:val="28"/>
          <w:lang w:val="zh-CN"/>
        </w:rPr>
      </w:pPr>
      <w:r>
        <w:rPr>
          <w:rFonts w:hint="eastAsia"/>
          <w:color w:val="000000" w:themeColor="text1"/>
          <w:sz w:val="28"/>
          <w:szCs w:val="28"/>
        </w:rPr>
        <w:t>《石油化工企业设计防火规范</w:t>
      </w:r>
      <w:r>
        <w:rPr>
          <w:color w:val="000000" w:themeColor="text1"/>
          <w:sz w:val="28"/>
          <w:szCs w:val="28"/>
          <w:lang w:val="zh-CN"/>
        </w:rPr>
        <w:t>（2018年版）</w:t>
      </w:r>
      <w:r>
        <w:rPr>
          <w:rFonts w:hint="eastAsia"/>
          <w:color w:val="000000" w:themeColor="text1"/>
          <w:sz w:val="28"/>
          <w:szCs w:val="28"/>
        </w:rPr>
        <w:t>》</w:t>
      </w:r>
      <w:r>
        <w:rPr>
          <w:color w:val="000000" w:themeColor="text1"/>
          <w:sz w:val="28"/>
          <w:szCs w:val="28"/>
          <w:lang w:val="zh-CN"/>
        </w:rPr>
        <w:t>（GB50</w:t>
      </w:r>
      <w:r>
        <w:rPr>
          <w:rFonts w:hint="eastAsia"/>
          <w:color w:val="000000" w:themeColor="text1"/>
          <w:sz w:val="28"/>
          <w:szCs w:val="28"/>
        </w:rPr>
        <w:t>160</w:t>
      </w:r>
      <w:r>
        <w:rPr>
          <w:color w:val="000000" w:themeColor="text1"/>
          <w:sz w:val="28"/>
          <w:szCs w:val="28"/>
          <w:lang w:val="zh-CN"/>
        </w:rPr>
        <w:t>-20</w:t>
      </w:r>
      <w:r>
        <w:rPr>
          <w:rFonts w:hint="eastAsia"/>
          <w:color w:val="000000" w:themeColor="text1"/>
          <w:sz w:val="28"/>
          <w:szCs w:val="28"/>
        </w:rPr>
        <w:t>08</w:t>
      </w:r>
      <w:r>
        <w:rPr>
          <w:color w:val="000000" w:themeColor="text1"/>
          <w:sz w:val="28"/>
          <w:szCs w:val="28"/>
          <w:lang w:val="zh-CN"/>
        </w:rPr>
        <w:t>）</w:t>
      </w:r>
      <w:r>
        <w:rPr>
          <w:rFonts w:hint="eastAsia"/>
          <w:color w:val="000000" w:themeColor="text1"/>
          <w:sz w:val="28"/>
          <w:szCs w:val="28"/>
          <w:lang w:val="zh-CN"/>
        </w:rPr>
        <w:t>；</w:t>
      </w:r>
    </w:p>
    <w:p>
      <w:pPr>
        <w:numPr>
          <w:ilvl w:val="0"/>
          <w:numId w:val="6"/>
        </w:numPr>
        <w:adjustRightInd w:val="0"/>
        <w:snapToGrid w:val="0"/>
        <w:spacing w:line="500" w:lineRule="exact"/>
        <w:ind w:firstLine="560"/>
        <w:rPr>
          <w:color w:val="000000" w:themeColor="text1"/>
          <w:sz w:val="28"/>
          <w:szCs w:val="28"/>
          <w:lang w:val="zh-CN"/>
        </w:rPr>
      </w:pPr>
      <w:r>
        <w:rPr>
          <w:rFonts w:hint="eastAsia"/>
          <w:color w:val="000000" w:themeColor="text1"/>
          <w:sz w:val="28"/>
          <w:szCs w:val="28"/>
          <w:lang w:val="zh-CN"/>
        </w:rPr>
        <w:t>《汽车加油加气加氢站技术标准》（</w:t>
      </w:r>
      <w:r>
        <w:rPr>
          <w:rFonts w:hint="eastAsia"/>
          <w:color w:val="000000" w:themeColor="text1"/>
          <w:sz w:val="28"/>
          <w:szCs w:val="28"/>
        </w:rPr>
        <w:t>GB50156-2021</w:t>
      </w:r>
      <w:r>
        <w:rPr>
          <w:rFonts w:hint="eastAsia"/>
          <w:color w:val="000000" w:themeColor="text1"/>
          <w:sz w:val="28"/>
          <w:szCs w:val="28"/>
          <w:lang w:val="zh-CN"/>
        </w:rPr>
        <w:t>）；</w:t>
      </w:r>
    </w:p>
    <w:p>
      <w:pPr>
        <w:numPr>
          <w:ilvl w:val="0"/>
          <w:numId w:val="6"/>
        </w:numPr>
        <w:adjustRightInd w:val="0"/>
        <w:snapToGrid w:val="0"/>
        <w:spacing w:line="500" w:lineRule="exact"/>
        <w:ind w:firstLine="560"/>
        <w:rPr>
          <w:color w:val="000000" w:themeColor="text1"/>
          <w:sz w:val="28"/>
          <w:szCs w:val="28"/>
          <w:lang w:val="zh-CN"/>
        </w:rPr>
      </w:pPr>
      <w:r>
        <w:rPr>
          <w:color w:val="000000" w:themeColor="text1"/>
          <w:sz w:val="28"/>
          <w:szCs w:val="28"/>
          <w:lang w:val="zh-CN"/>
        </w:rPr>
        <w:t>《危险化学品重大危险源辨识》（GB18218-2018）</w:t>
      </w:r>
      <w:r>
        <w:rPr>
          <w:rFonts w:hint="eastAsia"/>
          <w:color w:val="000000" w:themeColor="text1"/>
          <w:sz w:val="28"/>
          <w:szCs w:val="28"/>
          <w:lang w:val="zh-CN"/>
        </w:rPr>
        <w:t>；</w:t>
      </w:r>
    </w:p>
    <w:p>
      <w:pPr>
        <w:numPr>
          <w:ilvl w:val="0"/>
          <w:numId w:val="6"/>
        </w:numPr>
        <w:adjustRightInd w:val="0"/>
        <w:snapToGrid w:val="0"/>
        <w:spacing w:line="500" w:lineRule="exact"/>
        <w:ind w:firstLine="560"/>
        <w:rPr>
          <w:color w:val="000000" w:themeColor="text1"/>
          <w:sz w:val="28"/>
          <w:szCs w:val="28"/>
          <w:lang w:val="zh-CN"/>
        </w:rPr>
      </w:pPr>
      <w:r>
        <w:rPr>
          <w:color w:val="000000" w:themeColor="text1"/>
          <w:sz w:val="28"/>
          <w:szCs w:val="28"/>
          <w:lang w:val="zh-CN"/>
        </w:rPr>
        <w:t>《</w:t>
      </w:r>
      <w:r>
        <w:rPr>
          <w:rFonts w:hint="eastAsia"/>
          <w:color w:val="000000" w:themeColor="text1"/>
          <w:sz w:val="28"/>
          <w:szCs w:val="28"/>
          <w:lang w:val="zh-CN"/>
        </w:rPr>
        <w:t>危险化学品生产装置和储存设施外部安全防护距离确定方法》（GB</w:t>
      </w:r>
      <w:r>
        <w:rPr>
          <w:rFonts w:hint="eastAsia"/>
          <w:color w:val="000000" w:themeColor="text1"/>
          <w:sz w:val="28"/>
          <w:szCs w:val="28"/>
        </w:rPr>
        <w:t>/</w:t>
      </w:r>
      <w:r>
        <w:rPr>
          <w:rFonts w:hint="eastAsia"/>
          <w:color w:val="000000" w:themeColor="text1"/>
          <w:sz w:val="28"/>
          <w:szCs w:val="28"/>
          <w:lang w:val="zh-CN"/>
        </w:rPr>
        <w:t>T 37243-2019）；</w:t>
      </w:r>
    </w:p>
    <w:p>
      <w:pPr>
        <w:numPr>
          <w:ilvl w:val="0"/>
          <w:numId w:val="6"/>
        </w:numPr>
        <w:adjustRightInd w:val="0"/>
        <w:snapToGrid w:val="0"/>
        <w:spacing w:line="500" w:lineRule="exact"/>
        <w:ind w:firstLine="560"/>
        <w:rPr>
          <w:color w:val="000000" w:themeColor="text1"/>
          <w:sz w:val="28"/>
          <w:szCs w:val="28"/>
          <w:lang w:val="zh-CN"/>
        </w:rPr>
      </w:pPr>
      <w:r>
        <w:rPr>
          <w:rFonts w:hint="eastAsia"/>
          <w:color w:val="000000" w:themeColor="text1"/>
          <w:sz w:val="28"/>
          <w:szCs w:val="28"/>
          <w:lang w:val="zh-CN"/>
        </w:rPr>
        <w:t>《化学品作业场所安全警示标志规范》（AQ 3047-2013）；</w:t>
      </w:r>
    </w:p>
    <w:p>
      <w:pPr>
        <w:numPr>
          <w:ilvl w:val="0"/>
          <w:numId w:val="6"/>
        </w:numPr>
        <w:adjustRightInd w:val="0"/>
        <w:snapToGrid w:val="0"/>
        <w:spacing w:line="500" w:lineRule="exact"/>
        <w:ind w:firstLine="560"/>
        <w:rPr>
          <w:color w:val="000000" w:themeColor="text1"/>
          <w:sz w:val="28"/>
          <w:szCs w:val="28"/>
          <w:lang w:val="zh-CN"/>
        </w:rPr>
      </w:pPr>
      <w:r>
        <w:rPr>
          <w:rFonts w:hint="eastAsia"/>
          <w:color w:val="000000" w:themeColor="text1"/>
          <w:sz w:val="28"/>
          <w:szCs w:val="28"/>
          <w:lang w:val="zh-CN"/>
        </w:rPr>
        <w:t>《易燃易爆性商品储存养护技术条件》（GB17914-2013）；</w:t>
      </w:r>
    </w:p>
    <w:p>
      <w:pPr>
        <w:numPr>
          <w:ilvl w:val="0"/>
          <w:numId w:val="6"/>
        </w:numPr>
        <w:adjustRightInd w:val="0"/>
        <w:snapToGrid w:val="0"/>
        <w:spacing w:line="500" w:lineRule="exact"/>
        <w:ind w:firstLine="560"/>
        <w:rPr>
          <w:color w:val="000000" w:themeColor="text1"/>
          <w:sz w:val="28"/>
          <w:szCs w:val="28"/>
          <w:lang w:val="zh-CN"/>
        </w:rPr>
      </w:pPr>
      <w:r>
        <w:rPr>
          <w:rFonts w:hint="eastAsia"/>
          <w:color w:val="000000" w:themeColor="text1"/>
          <w:sz w:val="28"/>
          <w:szCs w:val="28"/>
          <w:lang w:val="zh-CN"/>
        </w:rPr>
        <w:t>《生产经营单位生产安全事故应急预案编制导则》（GB/T 29639-2020）；</w:t>
      </w:r>
    </w:p>
    <w:p>
      <w:pPr>
        <w:numPr>
          <w:ilvl w:val="0"/>
          <w:numId w:val="6"/>
        </w:numPr>
        <w:adjustRightInd w:val="0"/>
        <w:snapToGrid w:val="0"/>
        <w:spacing w:line="500" w:lineRule="exact"/>
        <w:ind w:firstLine="560"/>
        <w:rPr>
          <w:color w:val="000000" w:themeColor="text1"/>
          <w:sz w:val="28"/>
          <w:szCs w:val="28"/>
          <w:lang w:val="zh-CN"/>
        </w:rPr>
      </w:pPr>
      <w:r>
        <w:rPr>
          <w:rFonts w:hint="eastAsia"/>
          <w:color w:val="000000" w:themeColor="text1"/>
          <w:sz w:val="28"/>
          <w:szCs w:val="28"/>
          <w:lang w:val="zh-CN"/>
        </w:rPr>
        <w:t>《</w:t>
      </w:r>
      <w:r>
        <w:rPr>
          <w:rFonts w:hint="default" w:ascii="Times New Roman" w:hAnsi="Times New Roman" w:eastAsia="宋体" w:cs="Times New Roman"/>
          <w:b w:val="0"/>
          <w:bCs w:val="0"/>
          <w:color w:val="000000" w:themeColor="text1"/>
          <w:kern w:val="2"/>
          <w:sz w:val="28"/>
          <w:szCs w:val="28"/>
          <w:lang w:val="zh-CN" w:eastAsia="zh-CN" w:bidi="ar-SA"/>
        </w:rPr>
        <w:t>危险化学品企业特殊作业安全规范</w:t>
      </w:r>
      <w:r>
        <w:rPr>
          <w:rFonts w:hint="eastAsia"/>
          <w:color w:val="000000" w:themeColor="text1"/>
          <w:sz w:val="28"/>
          <w:szCs w:val="28"/>
          <w:lang w:val="zh-CN"/>
        </w:rPr>
        <w:t>》</w:t>
      </w:r>
      <w:r>
        <w:rPr>
          <w:rFonts w:hint="eastAsia" w:ascii="Times New Roman" w:hAnsi="Times New Roman" w:eastAsia="宋体" w:cs="Times New Roman"/>
          <w:b w:val="0"/>
          <w:bCs w:val="0"/>
          <w:color w:val="000000" w:themeColor="text1"/>
          <w:kern w:val="2"/>
          <w:sz w:val="28"/>
          <w:szCs w:val="28"/>
          <w:lang w:val="en-US" w:eastAsia="zh-CN" w:bidi="ar-SA"/>
        </w:rPr>
        <w:t>（</w:t>
      </w:r>
      <w:r>
        <w:rPr>
          <w:rFonts w:hint="eastAsia" w:ascii="Times New Roman" w:hAnsi="Times New Roman" w:eastAsia="宋体" w:cs="Times New Roman"/>
          <w:b w:val="0"/>
          <w:bCs w:val="0"/>
          <w:color w:val="000000" w:themeColor="text1"/>
          <w:kern w:val="2"/>
          <w:sz w:val="28"/>
          <w:szCs w:val="28"/>
          <w:lang w:val="zh-CN" w:eastAsia="zh-CN" w:bidi="ar-SA"/>
        </w:rPr>
        <w:t>GB 30871-2022</w:t>
      </w:r>
      <w:r>
        <w:rPr>
          <w:rFonts w:hint="eastAsia" w:ascii="Times New Roman" w:hAnsi="Times New Roman" w:eastAsia="宋体" w:cs="Times New Roman"/>
          <w:b w:val="0"/>
          <w:bCs w:val="0"/>
          <w:color w:val="000000" w:themeColor="text1"/>
          <w:kern w:val="2"/>
          <w:sz w:val="28"/>
          <w:szCs w:val="28"/>
          <w:lang w:val="en-US" w:eastAsia="zh-CN" w:bidi="ar-SA"/>
        </w:rPr>
        <w:t>）</w:t>
      </w:r>
      <w:r>
        <w:rPr>
          <w:rFonts w:hint="eastAsia"/>
          <w:color w:val="000000" w:themeColor="text1"/>
          <w:sz w:val="28"/>
          <w:szCs w:val="28"/>
          <w:lang w:val="zh-CN"/>
        </w:rPr>
        <w:t>；</w:t>
      </w:r>
    </w:p>
    <w:p>
      <w:pPr>
        <w:numPr>
          <w:ilvl w:val="0"/>
          <w:numId w:val="6"/>
        </w:numPr>
        <w:adjustRightInd w:val="0"/>
        <w:snapToGrid w:val="0"/>
        <w:spacing w:line="500" w:lineRule="exact"/>
        <w:ind w:firstLine="560"/>
        <w:rPr>
          <w:color w:val="000000" w:themeColor="text1"/>
          <w:sz w:val="28"/>
          <w:szCs w:val="28"/>
          <w:lang w:val="zh-CN"/>
        </w:rPr>
      </w:pPr>
      <w:r>
        <w:rPr>
          <w:color w:val="000000" w:themeColor="text1"/>
          <w:sz w:val="28"/>
          <w:szCs w:val="28"/>
          <w:lang w:val="zh-CN"/>
        </w:rPr>
        <w:t>《企业安全生产标准化基本规范》（GB/T33000-2016）</w:t>
      </w:r>
      <w:r>
        <w:rPr>
          <w:rFonts w:hint="eastAsia"/>
          <w:color w:val="000000" w:themeColor="text1"/>
          <w:sz w:val="28"/>
          <w:szCs w:val="28"/>
          <w:lang w:val="zh-CN"/>
        </w:rPr>
        <w:t>；</w:t>
      </w:r>
    </w:p>
    <w:p>
      <w:pPr>
        <w:numPr>
          <w:ilvl w:val="0"/>
          <w:numId w:val="6"/>
        </w:numPr>
        <w:adjustRightInd w:val="0"/>
        <w:snapToGrid w:val="0"/>
        <w:spacing w:line="500" w:lineRule="exact"/>
        <w:ind w:firstLine="560"/>
        <w:rPr>
          <w:color w:val="000000" w:themeColor="text1"/>
          <w:sz w:val="28"/>
          <w:szCs w:val="28"/>
          <w:lang w:val="zh-CN"/>
        </w:rPr>
      </w:pPr>
      <w:r>
        <w:rPr>
          <w:color w:val="000000" w:themeColor="text1"/>
          <w:sz w:val="28"/>
          <w:szCs w:val="28"/>
          <w:lang w:val="zh-CN"/>
        </w:rPr>
        <w:t>《中国地震动参数区划图》（GB18306-2015）</w:t>
      </w:r>
      <w:r>
        <w:rPr>
          <w:rFonts w:hint="eastAsia"/>
          <w:color w:val="000000" w:themeColor="text1"/>
          <w:sz w:val="28"/>
          <w:szCs w:val="28"/>
          <w:lang w:val="zh-CN"/>
        </w:rPr>
        <w:t>；</w:t>
      </w:r>
    </w:p>
    <w:p>
      <w:pPr>
        <w:numPr>
          <w:ilvl w:val="0"/>
          <w:numId w:val="6"/>
        </w:numPr>
        <w:adjustRightInd w:val="0"/>
        <w:snapToGrid w:val="0"/>
        <w:spacing w:line="500" w:lineRule="exact"/>
        <w:ind w:firstLine="560"/>
        <w:rPr>
          <w:color w:val="000000" w:themeColor="text1"/>
          <w:sz w:val="28"/>
          <w:szCs w:val="20"/>
        </w:rPr>
      </w:pPr>
      <w:r>
        <w:rPr>
          <w:color w:val="000000" w:themeColor="text1"/>
          <w:sz w:val="28"/>
          <w:szCs w:val="28"/>
          <w:lang w:val="zh-CN"/>
        </w:rPr>
        <w:t>《危险化学品单位应急救援物资配备要求》（GB30077-</w:t>
      </w:r>
      <w:r>
        <w:rPr>
          <w:rFonts w:hint="eastAsia"/>
          <w:color w:val="000000" w:themeColor="text1"/>
          <w:sz w:val="28"/>
          <w:szCs w:val="28"/>
          <w:lang w:val="en-US" w:eastAsia="zh-CN"/>
        </w:rPr>
        <w:t>2023</w:t>
      </w:r>
      <w:r>
        <w:rPr>
          <w:color w:val="000000" w:themeColor="text1"/>
          <w:sz w:val="28"/>
          <w:szCs w:val="28"/>
        </w:rPr>
        <w:t>）</w:t>
      </w:r>
      <w:r>
        <w:rPr>
          <w:rFonts w:hint="eastAsia"/>
          <w:color w:val="000000" w:themeColor="text1"/>
          <w:sz w:val="28"/>
          <w:szCs w:val="28"/>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lang w:val="zh-CN"/>
        </w:rPr>
      </w:pPr>
      <w:r>
        <w:rPr>
          <w:color w:val="000000" w:themeColor="text1"/>
          <w:sz w:val="28"/>
          <w:szCs w:val="28"/>
        </w:rPr>
        <w:t>《爆炸危险环境电力</w:t>
      </w:r>
      <w:r>
        <w:rPr>
          <w:color w:val="000000" w:themeColor="text1"/>
          <w:sz w:val="28"/>
          <w:szCs w:val="20"/>
        </w:rPr>
        <w:t>装置设计规范》（GB50058-2014）</w:t>
      </w:r>
      <w:r>
        <w:rPr>
          <w:rFonts w:hint="eastAsia"/>
          <w:color w:val="000000" w:themeColor="text1"/>
          <w:sz w:val="28"/>
          <w:szCs w:val="20"/>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rPr>
      </w:pPr>
      <w:r>
        <w:rPr>
          <w:color w:val="000000" w:themeColor="text1"/>
          <w:sz w:val="28"/>
          <w:szCs w:val="28"/>
        </w:rPr>
        <w:t>《消防安全标志 第1部分：标志》（GB13495-2015）</w:t>
      </w:r>
      <w:r>
        <w:rPr>
          <w:rFonts w:hint="eastAsia"/>
          <w:color w:val="000000" w:themeColor="text1"/>
          <w:sz w:val="28"/>
          <w:szCs w:val="28"/>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rStyle w:val="64"/>
          <w:color w:val="000000" w:themeColor="text1"/>
        </w:rPr>
      </w:pPr>
      <w:r>
        <w:rPr>
          <w:rStyle w:val="64"/>
          <w:color w:val="000000" w:themeColor="text1"/>
        </w:rPr>
        <w:t>《</w:t>
      </w:r>
      <w:r>
        <w:rPr>
          <w:rFonts w:hint="default" w:ascii="Times New Roman" w:hAnsi="Times New Roman" w:eastAsia="宋体" w:cs="Times New Roman"/>
          <w:b w:val="0"/>
          <w:bCs w:val="0"/>
          <w:color w:val="000000" w:themeColor="text1"/>
          <w:kern w:val="2"/>
          <w:sz w:val="28"/>
          <w:szCs w:val="28"/>
          <w:lang w:val="en-US" w:eastAsia="zh-CN" w:bidi="ar-SA"/>
        </w:rPr>
        <w:t>危险化学品仓库储存通则</w:t>
      </w:r>
      <w:r>
        <w:rPr>
          <w:rStyle w:val="64"/>
          <w:color w:val="000000" w:themeColor="text1"/>
        </w:rPr>
        <w:t>》（</w:t>
      </w:r>
      <w:r>
        <w:rPr>
          <w:rFonts w:hint="eastAsia" w:ascii="Times New Roman" w:hAnsi="Times New Roman" w:eastAsia="宋体" w:cs="Times New Roman"/>
          <w:b w:val="0"/>
          <w:bCs w:val="0"/>
          <w:color w:val="000000" w:themeColor="text1"/>
          <w:kern w:val="2"/>
          <w:sz w:val="28"/>
          <w:szCs w:val="28"/>
          <w:lang w:val="en-US" w:eastAsia="zh-CN" w:bidi="ar-SA"/>
        </w:rPr>
        <w:t>GB 15603-2022</w:t>
      </w:r>
      <w:r>
        <w:rPr>
          <w:rFonts w:hint="eastAsia" w:cs="Times New Roman"/>
          <w:b w:val="0"/>
          <w:bCs w:val="0"/>
          <w:color w:val="000000" w:themeColor="text1"/>
          <w:kern w:val="2"/>
          <w:sz w:val="28"/>
          <w:szCs w:val="28"/>
          <w:lang w:val="en-US" w:eastAsia="zh-CN" w:bidi="ar-SA"/>
        </w:rPr>
        <w:t>）</w:t>
      </w:r>
      <w:r>
        <w:rPr>
          <w:rStyle w:val="64"/>
          <w:rFonts w:hint="eastAsia"/>
          <w:color w:val="000000" w:themeColor="text1"/>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rPr>
      </w:pPr>
      <w:r>
        <w:rPr>
          <w:color w:val="000000" w:themeColor="text1"/>
          <w:sz w:val="28"/>
          <w:szCs w:val="28"/>
        </w:rPr>
        <w:t>《建筑物防雷设计规范》（GB50057-2010）</w:t>
      </w:r>
      <w:r>
        <w:rPr>
          <w:rFonts w:hint="eastAsia"/>
          <w:color w:val="000000" w:themeColor="text1"/>
          <w:sz w:val="28"/>
          <w:szCs w:val="28"/>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rPr>
      </w:pPr>
      <w:r>
        <w:rPr>
          <w:color w:val="000000" w:themeColor="text1"/>
          <w:sz w:val="28"/>
          <w:szCs w:val="28"/>
        </w:rPr>
        <w:t>《建筑抗震设计规范（</w:t>
      </w:r>
      <w:r>
        <w:rPr>
          <w:rFonts w:hint="eastAsia"/>
          <w:color w:val="000000" w:themeColor="text1"/>
          <w:sz w:val="28"/>
          <w:szCs w:val="28"/>
          <w:lang w:val="en-US" w:eastAsia="zh-CN"/>
        </w:rPr>
        <w:t>2024</w:t>
      </w:r>
      <w:r>
        <w:rPr>
          <w:color w:val="000000" w:themeColor="text1"/>
          <w:sz w:val="28"/>
          <w:szCs w:val="28"/>
        </w:rPr>
        <w:t>年版）》（GB50011-2010）</w:t>
      </w:r>
      <w:r>
        <w:rPr>
          <w:rFonts w:hint="eastAsia"/>
          <w:color w:val="000000" w:themeColor="text1"/>
          <w:sz w:val="28"/>
          <w:szCs w:val="28"/>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rPr>
      </w:pPr>
      <w:r>
        <w:rPr>
          <w:color w:val="000000" w:themeColor="text1"/>
          <w:sz w:val="28"/>
          <w:szCs w:val="28"/>
        </w:rPr>
        <w:t>《防止静电事故通用导则》（GB12158-2006）</w:t>
      </w:r>
      <w:r>
        <w:rPr>
          <w:rFonts w:hint="eastAsia"/>
          <w:color w:val="000000" w:themeColor="text1"/>
          <w:sz w:val="28"/>
          <w:szCs w:val="28"/>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rPr>
      </w:pPr>
      <w:r>
        <w:rPr>
          <w:color w:val="000000" w:themeColor="text1"/>
          <w:sz w:val="28"/>
          <w:szCs w:val="28"/>
        </w:rPr>
        <w:t>《职业性接触毒物危害程度分级》（GBZ230-2010）</w:t>
      </w:r>
      <w:r>
        <w:rPr>
          <w:rFonts w:hint="eastAsia"/>
          <w:color w:val="000000" w:themeColor="text1"/>
          <w:sz w:val="28"/>
          <w:szCs w:val="28"/>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rPr>
      </w:pPr>
      <w:r>
        <w:rPr>
          <w:color w:val="000000" w:themeColor="text1"/>
          <w:sz w:val="28"/>
          <w:szCs w:val="28"/>
        </w:rPr>
        <w:t>《企业职工伤亡事故分类》（GB6441-1986）</w:t>
      </w:r>
      <w:r>
        <w:rPr>
          <w:rFonts w:hint="eastAsia"/>
          <w:color w:val="000000" w:themeColor="text1"/>
          <w:sz w:val="28"/>
          <w:szCs w:val="28"/>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rPr>
      </w:pPr>
      <w:r>
        <w:rPr>
          <w:color w:val="000000" w:themeColor="text1"/>
          <w:sz w:val="28"/>
          <w:szCs w:val="28"/>
        </w:rPr>
        <w:t>《生产过程危险和有害因素分类与代码》（GB/T13861-</w:t>
      </w:r>
      <w:r>
        <w:rPr>
          <w:rFonts w:hint="eastAsia"/>
          <w:color w:val="000000" w:themeColor="text1"/>
          <w:sz w:val="28"/>
          <w:szCs w:val="28"/>
          <w:lang w:val="en-US" w:eastAsia="zh-CN"/>
        </w:rPr>
        <w:t>2022</w:t>
      </w:r>
      <w:r>
        <w:rPr>
          <w:color w:val="000000" w:themeColor="text1"/>
          <w:sz w:val="28"/>
          <w:szCs w:val="28"/>
        </w:rPr>
        <w:t>）</w:t>
      </w:r>
      <w:r>
        <w:rPr>
          <w:rFonts w:hint="eastAsia"/>
          <w:color w:val="000000" w:themeColor="text1"/>
          <w:sz w:val="28"/>
          <w:szCs w:val="28"/>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rPr>
      </w:pPr>
      <w:r>
        <w:rPr>
          <w:color w:val="000000" w:themeColor="text1"/>
          <w:sz w:val="28"/>
          <w:szCs w:val="28"/>
        </w:rPr>
        <w:t>《危险货物品名表》（GB12268-2012）</w:t>
      </w:r>
      <w:r>
        <w:rPr>
          <w:rFonts w:hint="eastAsia"/>
          <w:color w:val="000000" w:themeColor="text1"/>
          <w:sz w:val="28"/>
          <w:szCs w:val="28"/>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rPr>
      </w:pPr>
      <w:r>
        <w:rPr>
          <w:color w:val="000000" w:themeColor="text1"/>
          <w:sz w:val="28"/>
          <w:szCs w:val="28"/>
        </w:rPr>
        <w:t>《化学品分类和标签规范》（GB30000-2013）</w:t>
      </w:r>
      <w:r>
        <w:rPr>
          <w:rFonts w:hint="eastAsia"/>
          <w:color w:val="000000" w:themeColor="text1"/>
          <w:sz w:val="28"/>
          <w:szCs w:val="28"/>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rPr>
      </w:pPr>
      <w:r>
        <w:rPr>
          <w:color w:val="000000" w:themeColor="text1"/>
          <w:sz w:val="28"/>
          <w:szCs w:val="28"/>
        </w:rPr>
        <w:t>《建筑灭火器配置设计规范》（GB50140-2005）</w:t>
      </w:r>
      <w:r>
        <w:rPr>
          <w:rFonts w:hint="eastAsia"/>
          <w:color w:val="000000" w:themeColor="text1"/>
          <w:sz w:val="28"/>
          <w:szCs w:val="28"/>
          <w:lang w:eastAsia="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lang w:val="zh-CN"/>
        </w:rPr>
      </w:pPr>
      <w:r>
        <w:rPr>
          <w:color w:val="000000" w:themeColor="text1"/>
          <w:sz w:val="28"/>
          <w:szCs w:val="28"/>
          <w:lang w:val="zh-CN"/>
        </w:rPr>
        <w:t>《工业企业总平面设计规范》（GB50187-2012）</w:t>
      </w:r>
      <w:r>
        <w:rPr>
          <w:rFonts w:hint="eastAsia"/>
          <w:color w:val="000000" w:themeColor="text1"/>
          <w:sz w:val="28"/>
          <w:szCs w:val="28"/>
          <w:lang w:val="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lang w:val="zh-CN"/>
        </w:rPr>
      </w:pPr>
      <w:r>
        <w:rPr>
          <w:color w:val="000000" w:themeColor="text1"/>
          <w:sz w:val="28"/>
          <w:szCs w:val="28"/>
          <w:lang w:val="zh-CN"/>
        </w:rPr>
        <w:t>《工业企业设计卫生标准》（GBZ1-2010）</w:t>
      </w:r>
      <w:r>
        <w:rPr>
          <w:rFonts w:hint="eastAsia"/>
          <w:color w:val="000000" w:themeColor="text1"/>
          <w:sz w:val="28"/>
          <w:szCs w:val="28"/>
          <w:lang w:val="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lang w:val="zh-CN"/>
        </w:rPr>
      </w:pPr>
      <w:r>
        <w:rPr>
          <w:color w:val="000000" w:themeColor="text1"/>
          <w:sz w:val="28"/>
          <w:szCs w:val="28"/>
          <w:lang w:val="zh-CN"/>
        </w:rPr>
        <w:t>《化工企业安全卫生设计规范》（HG20571-2014）</w:t>
      </w:r>
      <w:r>
        <w:rPr>
          <w:rFonts w:hint="eastAsia"/>
          <w:color w:val="000000" w:themeColor="text1"/>
          <w:sz w:val="28"/>
          <w:szCs w:val="28"/>
          <w:lang w:val="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lang w:val="zh-CN"/>
        </w:rPr>
      </w:pPr>
      <w:r>
        <w:rPr>
          <w:color w:val="000000" w:themeColor="text1"/>
          <w:sz w:val="28"/>
          <w:szCs w:val="28"/>
          <w:lang w:val="zh-CN"/>
        </w:rPr>
        <w:t>《生产过程安全卫生要求总则》（GB/T 12801-2008）</w:t>
      </w:r>
      <w:r>
        <w:rPr>
          <w:rFonts w:hint="eastAsia"/>
          <w:color w:val="000000" w:themeColor="text1"/>
          <w:sz w:val="28"/>
          <w:szCs w:val="28"/>
          <w:lang w:val="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lang w:val="zh-CN"/>
        </w:rPr>
      </w:pPr>
      <w:r>
        <w:rPr>
          <w:color w:val="000000" w:themeColor="text1"/>
          <w:sz w:val="28"/>
          <w:szCs w:val="28"/>
          <w:lang w:val="zh-CN"/>
        </w:rPr>
        <w:t>《用电安全导则》（GB/T13869-2017）</w:t>
      </w:r>
      <w:r>
        <w:rPr>
          <w:rFonts w:hint="eastAsia"/>
          <w:color w:val="000000" w:themeColor="text1"/>
          <w:sz w:val="28"/>
          <w:szCs w:val="28"/>
          <w:lang w:val="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lang w:val="zh-CN"/>
        </w:rPr>
      </w:pPr>
      <w:r>
        <w:rPr>
          <w:color w:val="000000" w:themeColor="text1"/>
          <w:sz w:val="28"/>
          <w:szCs w:val="28"/>
          <w:lang w:val="zh-CN"/>
        </w:rPr>
        <w:t>《通用用电设备配电设计规范》（GB50053-2011）</w:t>
      </w:r>
      <w:r>
        <w:rPr>
          <w:rFonts w:hint="eastAsia"/>
          <w:color w:val="000000" w:themeColor="text1"/>
          <w:sz w:val="28"/>
          <w:szCs w:val="28"/>
          <w:lang w:val="zh-CN"/>
        </w:rPr>
        <w:t>；</w:t>
      </w:r>
    </w:p>
    <w:p>
      <w:pPr>
        <w:numPr>
          <w:ilvl w:val="0"/>
          <w:numId w:val="6"/>
        </w:numPr>
        <w:tabs>
          <w:tab w:val="left" w:pos="780"/>
          <w:tab w:val="left" w:pos="900"/>
          <w:tab w:val="left" w:pos="960"/>
          <w:tab w:val="left" w:pos="1260"/>
          <w:tab w:val="left" w:pos="1620"/>
        </w:tabs>
        <w:adjustRightInd w:val="0"/>
        <w:snapToGrid w:val="0"/>
        <w:spacing w:line="500" w:lineRule="exact"/>
        <w:ind w:firstLine="560" w:firstLineChars="200"/>
        <w:rPr>
          <w:color w:val="000000" w:themeColor="text1"/>
          <w:sz w:val="28"/>
          <w:szCs w:val="28"/>
          <w:lang w:val="zh-CN"/>
        </w:rPr>
      </w:pPr>
      <w:r>
        <w:rPr>
          <w:color w:val="000000" w:themeColor="text1"/>
          <w:sz w:val="28"/>
          <w:szCs w:val="28"/>
          <w:lang w:val="zh-CN"/>
        </w:rPr>
        <w:t>《低压配电设计规范》（GB50054-2011）</w:t>
      </w:r>
      <w:r>
        <w:rPr>
          <w:rFonts w:hint="eastAsia"/>
          <w:color w:val="000000" w:themeColor="text1"/>
          <w:sz w:val="28"/>
          <w:szCs w:val="28"/>
          <w:lang w:val="zh-CN"/>
        </w:rPr>
        <w:t>；</w:t>
      </w:r>
    </w:p>
    <w:p>
      <w:pPr>
        <w:numPr>
          <w:ilvl w:val="0"/>
          <w:numId w:val="6"/>
        </w:numPr>
        <w:adjustRightInd w:val="0"/>
        <w:snapToGrid w:val="0"/>
        <w:spacing w:line="500" w:lineRule="exact"/>
        <w:ind w:firstLine="560"/>
        <w:rPr>
          <w:color w:val="000000" w:themeColor="text1"/>
          <w:sz w:val="28"/>
          <w:szCs w:val="28"/>
        </w:rPr>
      </w:pPr>
      <w:r>
        <w:rPr>
          <w:color w:val="000000" w:themeColor="text1"/>
          <w:sz w:val="28"/>
          <w:szCs w:val="28"/>
          <w:lang w:val="zh-CN"/>
        </w:rPr>
        <w:t>《供配电系统设计规范》（GB 50052-2009）</w:t>
      </w:r>
      <w:r>
        <w:rPr>
          <w:rFonts w:hint="eastAsia"/>
          <w:color w:val="000000" w:themeColor="text1"/>
          <w:sz w:val="28"/>
          <w:szCs w:val="28"/>
          <w:lang w:val="zh-CN"/>
        </w:rPr>
        <w:t>。</w:t>
      </w:r>
    </w:p>
    <w:p>
      <w:pPr>
        <w:pStyle w:val="19"/>
        <w:spacing w:afterLines="100" w:line="500" w:lineRule="exact"/>
        <w:rPr>
          <w:rFonts w:ascii="黑体" w:hAnsi="宋体" w:eastAsia="黑体"/>
          <w:color w:val="000000" w:themeColor="text1"/>
          <w:kern w:val="3"/>
          <w:sz w:val="28"/>
          <w:szCs w:val="28"/>
        </w:rPr>
      </w:pPr>
      <w:bookmarkStart w:id="193" w:name="_Toc16342"/>
      <w:bookmarkStart w:id="194" w:name="_Toc29960"/>
      <w:bookmarkStart w:id="195" w:name="_Toc24474"/>
      <w:bookmarkStart w:id="196" w:name="_Toc18644"/>
      <w:bookmarkStart w:id="197" w:name="_Toc15135"/>
      <w:bookmarkStart w:id="198" w:name="_Toc28684"/>
      <w:bookmarkStart w:id="199" w:name="_Toc30249"/>
      <w:bookmarkStart w:id="200" w:name="_Toc18496"/>
      <w:bookmarkStart w:id="201" w:name="_Toc13606"/>
      <w:bookmarkStart w:id="202" w:name="_Toc11119"/>
      <w:r>
        <w:rPr>
          <w:rFonts w:hint="eastAsia" w:ascii="黑体" w:hAnsi="宋体" w:eastAsia="黑体"/>
          <w:color w:val="000000" w:themeColor="text1"/>
          <w:kern w:val="3"/>
          <w:sz w:val="28"/>
          <w:szCs w:val="28"/>
        </w:rPr>
        <w:t>1.2.</w:t>
      </w:r>
      <w:r>
        <w:rPr>
          <w:rFonts w:hint="eastAsia" w:ascii="黑体" w:hAnsi="宋体" w:eastAsia="黑体"/>
          <w:color w:val="000000" w:themeColor="text1"/>
          <w:kern w:val="3"/>
          <w:sz w:val="28"/>
          <w:szCs w:val="28"/>
          <w:lang w:val="en-US" w:eastAsia="zh-CN"/>
        </w:rPr>
        <w:t>5</w:t>
      </w:r>
      <w:r>
        <w:rPr>
          <w:rFonts w:hint="eastAsia" w:ascii="黑体" w:hAnsi="宋体" w:eastAsia="黑体"/>
          <w:color w:val="000000" w:themeColor="text1"/>
          <w:kern w:val="3"/>
          <w:sz w:val="28"/>
          <w:szCs w:val="28"/>
        </w:rPr>
        <w:t xml:space="preserve"> 安全及行业标准</w:t>
      </w:r>
      <w:bookmarkEnd w:id="191"/>
      <w:bookmarkEnd w:id="192"/>
      <w:bookmarkEnd w:id="193"/>
      <w:bookmarkEnd w:id="194"/>
      <w:bookmarkEnd w:id="195"/>
      <w:bookmarkEnd w:id="196"/>
      <w:bookmarkEnd w:id="197"/>
      <w:bookmarkEnd w:id="198"/>
      <w:bookmarkEnd w:id="199"/>
      <w:bookmarkEnd w:id="200"/>
      <w:bookmarkEnd w:id="201"/>
      <w:bookmarkEnd w:id="202"/>
      <w:bookmarkStart w:id="203" w:name="_Toc24196"/>
      <w:bookmarkStart w:id="204" w:name="_Toc345765819"/>
    </w:p>
    <w:p>
      <w:pPr>
        <w:numPr>
          <w:ilvl w:val="0"/>
          <w:numId w:val="7"/>
        </w:numPr>
        <w:tabs>
          <w:tab w:val="left" w:pos="840"/>
          <w:tab w:val="clear" w:pos="960"/>
        </w:tabs>
        <w:adjustRightInd w:val="0"/>
        <w:snapToGrid w:val="0"/>
        <w:spacing w:line="480" w:lineRule="exact"/>
        <w:ind w:left="0" w:firstLine="560"/>
        <w:rPr>
          <w:color w:val="000000" w:themeColor="text1"/>
          <w:sz w:val="28"/>
          <w:szCs w:val="21"/>
        </w:rPr>
      </w:pPr>
      <w:r>
        <w:rPr>
          <w:color w:val="000000" w:themeColor="text1"/>
          <w:sz w:val="28"/>
          <w:szCs w:val="21"/>
        </w:rPr>
        <w:t>《安全评价通则》（AQ8001-2007）</w:t>
      </w:r>
      <w:r>
        <w:rPr>
          <w:rFonts w:hint="eastAsia"/>
          <w:color w:val="000000" w:themeColor="text1"/>
          <w:sz w:val="28"/>
          <w:szCs w:val="21"/>
          <w:lang w:eastAsia="zh-CN"/>
        </w:rPr>
        <w:t>；</w:t>
      </w:r>
    </w:p>
    <w:p>
      <w:pPr>
        <w:numPr>
          <w:ilvl w:val="0"/>
          <w:numId w:val="7"/>
        </w:numPr>
        <w:tabs>
          <w:tab w:val="left" w:pos="840"/>
          <w:tab w:val="clear" w:pos="960"/>
        </w:tabs>
        <w:adjustRightInd w:val="0"/>
        <w:snapToGrid w:val="0"/>
        <w:spacing w:line="480" w:lineRule="exact"/>
        <w:ind w:left="0" w:firstLine="560"/>
        <w:rPr>
          <w:color w:val="000000" w:themeColor="text1"/>
          <w:sz w:val="28"/>
          <w:szCs w:val="21"/>
        </w:rPr>
      </w:pPr>
      <w:r>
        <w:rPr>
          <w:color w:val="000000" w:themeColor="text1"/>
          <w:sz w:val="28"/>
          <w:szCs w:val="21"/>
        </w:rPr>
        <w:t>《生产经营单位生产安全事故应急预案评估指南》（AQ/T 9011-2019）</w:t>
      </w:r>
      <w:r>
        <w:rPr>
          <w:rFonts w:hint="eastAsia"/>
          <w:color w:val="000000" w:themeColor="text1"/>
          <w:sz w:val="28"/>
          <w:szCs w:val="21"/>
          <w:lang w:eastAsia="zh-CN"/>
        </w:rPr>
        <w:t>；</w:t>
      </w:r>
    </w:p>
    <w:p>
      <w:pPr>
        <w:numPr>
          <w:ilvl w:val="0"/>
          <w:numId w:val="7"/>
        </w:numPr>
        <w:tabs>
          <w:tab w:val="left" w:pos="840"/>
          <w:tab w:val="clear" w:pos="960"/>
        </w:tabs>
        <w:adjustRightInd w:val="0"/>
        <w:snapToGrid w:val="0"/>
        <w:spacing w:line="480" w:lineRule="exact"/>
        <w:ind w:left="0" w:firstLine="560"/>
        <w:rPr>
          <w:color w:val="000000" w:themeColor="text1"/>
          <w:sz w:val="28"/>
          <w:szCs w:val="21"/>
        </w:rPr>
      </w:pPr>
      <w:r>
        <w:rPr>
          <w:color w:val="000000" w:themeColor="text1"/>
          <w:sz w:val="28"/>
          <w:szCs w:val="21"/>
        </w:rPr>
        <w:t>《生产安全事故应急演练评估规范》（AQ/9009-2015）</w:t>
      </w:r>
      <w:r>
        <w:rPr>
          <w:rFonts w:hint="eastAsia"/>
          <w:color w:val="000000" w:themeColor="text1"/>
          <w:sz w:val="28"/>
          <w:szCs w:val="21"/>
          <w:lang w:eastAsia="zh-CN"/>
        </w:rPr>
        <w:t>；</w:t>
      </w:r>
    </w:p>
    <w:p>
      <w:pPr>
        <w:numPr>
          <w:ilvl w:val="0"/>
          <w:numId w:val="7"/>
        </w:numPr>
        <w:tabs>
          <w:tab w:val="left" w:pos="840"/>
          <w:tab w:val="clear" w:pos="960"/>
        </w:tabs>
        <w:adjustRightInd w:val="0"/>
        <w:snapToGrid w:val="0"/>
        <w:spacing w:line="480" w:lineRule="exact"/>
        <w:ind w:left="0" w:firstLine="560"/>
        <w:rPr>
          <w:color w:val="000000" w:themeColor="text1"/>
          <w:sz w:val="28"/>
          <w:szCs w:val="21"/>
        </w:rPr>
      </w:pPr>
      <w:r>
        <w:rPr>
          <w:color w:val="000000" w:themeColor="text1"/>
          <w:sz w:val="28"/>
          <w:szCs w:val="21"/>
        </w:rPr>
        <w:t>《危险化学品应急救援管理人员培训及考核要求》（AQT3043-2013）</w:t>
      </w:r>
      <w:r>
        <w:rPr>
          <w:rFonts w:hint="eastAsia"/>
          <w:color w:val="000000" w:themeColor="text1"/>
          <w:sz w:val="28"/>
          <w:szCs w:val="21"/>
          <w:lang w:eastAsia="zh-CN"/>
        </w:rPr>
        <w:t>；</w:t>
      </w:r>
    </w:p>
    <w:p>
      <w:pPr>
        <w:numPr>
          <w:ilvl w:val="0"/>
          <w:numId w:val="7"/>
        </w:numPr>
        <w:tabs>
          <w:tab w:val="left" w:pos="840"/>
          <w:tab w:val="clear" w:pos="960"/>
        </w:tabs>
        <w:adjustRightInd w:val="0"/>
        <w:snapToGrid w:val="0"/>
        <w:spacing w:line="480" w:lineRule="exact"/>
        <w:ind w:left="0" w:firstLine="560"/>
        <w:rPr>
          <w:color w:val="000000" w:themeColor="text1"/>
          <w:sz w:val="28"/>
          <w:szCs w:val="21"/>
        </w:rPr>
      </w:pPr>
      <w:r>
        <w:rPr>
          <w:color w:val="000000" w:themeColor="text1"/>
          <w:sz w:val="28"/>
          <w:szCs w:val="21"/>
        </w:rPr>
        <w:t>《</w:t>
      </w:r>
      <w:r>
        <w:rPr>
          <w:color w:val="FF0000"/>
          <w:sz w:val="28"/>
          <w:szCs w:val="21"/>
        </w:rPr>
        <w:t>化学品作业场所安全警示标志规范》（AQ/T3047-2013</w:t>
      </w:r>
      <w:r>
        <w:rPr>
          <w:color w:val="000000" w:themeColor="text1"/>
          <w:sz w:val="28"/>
          <w:szCs w:val="21"/>
        </w:rPr>
        <w:t>）</w:t>
      </w:r>
      <w:r>
        <w:rPr>
          <w:rFonts w:hint="eastAsia"/>
          <w:color w:val="000000" w:themeColor="text1"/>
          <w:sz w:val="28"/>
          <w:szCs w:val="21"/>
          <w:lang w:eastAsia="zh-CN"/>
        </w:rPr>
        <w:t>；</w:t>
      </w:r>
    </w:p>
    <w:p>
      <w:pPr>
        <w:numPr>
          <w:ilvl w:val="0"/>
          <w:numId w:val="7"/>
        </w:numPr>
        <w:tabs>
          <w:tab w:val="left" w:pos="840"/>
          <w:tab w:val="clear" w:pos="960"/>
        </w:tabs>
        <w:adjustRightInd w:val="0"/>
        <w:snapToGrid w:val="0"/>
        <w:spacing w:line="480" w:lineRule="exact"/>
        <w:ind w:left="0" w:firstLine="560"/>
        <w:rPr>
          <w:color w:val="000000" w:themeColor="text1"/>
          <w:sz w:val="28"/>
          <w:szCs w:val="21"/>
        </w:rPr>
      </w:pPr>
      <w:r>
        <w:rPr>
          <w:color w:val="000000" w:themeColor="text1"/>
          <w:sz w:val="28"/>
          <w:szCs w:val="21"/>
        </w:rPr>
        <w:t>《危险场所电气安全防爆规范》（AQ3009-2007）</w:t>
      </w:r>
      <w:r>
        <w:rPr>
          <w:rFonts w:hint="eastAsia"/>
          <w:color w:val="000000" w:themeColor="text1"/>
          <w:sz w:val="28"/>
          <w:szCs w:val="21"/>
          <w:lang w:eastAsia="zh-CN"/>
        </w:rPr>
        <w:t>；</w:t>
      </w:r>
    </w:p>
    <w:p>
      <w:pPr>
        <w:tabs>
          <w:tab w:val="left" w:pos="840"/>
        </w:tabs>
        <w:adjustRightInd w:val="0"/>
        <w:snapToGrid w:val="0"/>
        <w:spacing w:line="480" w:lineRule="exact"/>
        <w:ind w:left="560"/>
        <w:rPr>
          <w:rFonts w:hint="eastAsia" w:eastAsia="宋体"/>
          <w:color w:val="000000" w:themeColor="text1"/>
          <w:sz w:val="28"/>
          <w:szCs w:val="21"/>
          <w:lang w:eastAsia="zh-CN"/>
        </w:rPr>
      </w:pPr>
      <w:r>
        <w:rPr>
          <w:rFonts w:hint="eastAsia"/>
          <w:color w:val="000000" w:themeColor="text1"/>
          <w:sz w:val="28"/>
          <w:szCs w:val="21"/>
        </w:rPr>
        <w:t>9</w:t>
      </w:r>
      <w:r>
        <w:rPr>
          <w:color w:val="000000" w:themeColor="text1"/>
          <w:sz w:val="28"/>
          <w:szCs w:val="21"/>
        </w:rPr>
        <w:t>.《危险货物道路运输规则》（JT/T 617-2018）</w:t>
      </w:r>
      <w:r>
        <w:rPr>
          <w:rFonts w:hint="eastAsia"/>
          <w:color w:val="000000" w:themeColor="text1"/>
          <w:sz w:val="28"/>
          <w:szCs w:val="21"/>
          <w:lang w:eastAsia="zh-CN"/>
        </w:rPr>
        <w:t>；</w:t>
      </w:r>
    </w:p>
    <w:p>
      <w:pPr>
        <w:tabs>
          <w:tab w:val="left" w:pos="840"/>
        </w:tabs>
        <w:adjustRightInd w:val="0"/>
        <w:snapToGrid w:val="0"/>
        <w:spacing w:line="480" w:lineRule="exact"/>
        <w:ind w:left="560"/>
        <w:rPr>
          <w:rFonts w:hint="eastAsia" w:eastAsia="宋体"/>
          <w:color w:val="000000" w:themeColor="text1"/>
          <w:sz w:val="28"/>
          <w:szCs w:val="21"/>
          <w:lang w:eastAsia="zh-CN"/>
        </w:rPr>
      </w:pPr>
      <w:r>
        <w:rPr>
          <w:rFonts w:hint="eastAsia"/>
          <w:color w:val="000000" w:themeColor="text1"/>
          <w:sz w:val="28"/>
          <w:szCs w:val="21"/>
        </w:rPr>
        <w:t>10</w:t>
      </w:r>
      <w:r>
        <w:rPr>
          <w:color w:val="000000" w:themeColor="text1"/>
          <w:sz w:val="28"/>
          <w:szCs w:val="21"/>
        </w:rPr>
        <w:t>.《化工设备、管道外防腐设计规范》（HG/T 20679-2014）</w:t>
      </w:r>
      <w:r>
        <w:rPr>
          <w:rFonts w:hint="eastAsia"/>
          <w:color w:val="000000" w:themeColor="text1"/>
          <w:sz w:val="28"/>
          <w:szCs w:val="21"/>
          <w:lang w:eastAsia="zh-CN"/>
        </w:rPr>
        <w:t>。</w:t>
      </w:r>
    </w:p>
    <w:p>
      <w:pPr>
        <w:pStyle w:val="19"/>
        <w:spacing w:afterLines="100" w:line="500" w:lineRule="exact"/>
        <w:rPr>
          <w:rFonts w:ascii="黑体" w:hAnsi="宋体" w:eastAsia="黑体"/>
          <w:color w:val="000000" w:themeColor="text1"/>
          <w:kern w:val="3"/>
          <w:sz w:val="28"/>
          <w:szCs w:val="28"/>
        </w:rPr>
      </w:pPr>
      <w:bookmarkStart w:id="205" w:name="_Toc13927"/>
      <w:bookmarkStart w:id="206" w:name="_Toc26351"/>
      <w:bookmarkStart w:id="207" w:name="_Toc12687"/>
      <w:bookmarkStart w:id="208" w:name="_Toc25954"/>
      <w:bookmarkStart w:id="209" w:name="_Toc16971"/>
      <w:bookmarkStart w:id="210" w:name="_Toc29680"/>
      <w:bookmarkStart w:id="211" w:name="_Toc27391"/>
      <w:bookmarkStart w:id="212" w:name="_Toc6979"/>
      <w:bookmarkStart w:id="213" w:name="_Toc22171"/>
      <w:bookmarkStart w:id="214" w:name="_Toc853"/>
      <w:r>
        <w:rPr>
          <w:rFonts w:hint="eastAsia" w:ascii="黑体" w:hAnsi="宋体" w:eastAsia="黑体"/>
          <w:color w:val="000000" w:themeColor="text1"/>
          <w:kern w:val="3"/>
          <w:sz w:val="28"/>
          <w:szCs w:val="28"/>
        </w:rPr>
        <w:t>1.2.</w:t>
      </w:r>
      <w:r>
        <w:rPr>
          <w:rFonts w:hint="eastAsia" w:ascii="黑体" w:hAnsi="宋体" w:eastAsia="黑体"/>
          <w:color w:val="000000" w:themeColor="text1"/>
          <w:kern w:val="3"/>
          <w:sz w:val="28"/>
          <w:szCs w:val="28"/>
          <w:lang w:val="en-US" w:eastAsia="zh-CN"/>
        </w:rPr>
        <w:t>6</w:t>
      </w:r>
      <w:r>
        <w:rPr>
          <w:rFonts w:hint="eastAsia" w:ascii="黑体" w:hAnsi="宋体" w:eastAsia="黑体"/>
          <w:color w:val="000000" w:themeColor="text1"/>
          <w:kern w:val="3"/>
          <w:sz w:val="28"/>
          <w:szCs w:val="28"/>
        </w:rPr>
        <w:t>其它依据</w:t>
      </w:r>
      <w:bookmarkEnd w:id="137"/>
      <w:bookmarkEnd w:id="138"/>
      <w:bookmarkEnd w:id="139"/>
      <w:bookmarkEnd w:id="203"/>
      <w:bookmarkEnd w:id="204"/>
      <w:bookmarkEnd w:id="205"/>
      <w:bookmarkEnd w:id="206"/>
      <w:bookmarkEnd w:id="207"/>
      <w:bookmarkEnd w:id="208"/>
      <w:bookmarkEnd w:id="209"/>
      <w:bookmarkEnd w:id="210"/>
      <w:bookmarkEnd w:id="211"/>
      <w:bookmarkEnd w:id="212"/>
      <w:bookmarkEnd w:id="213"/>
      <w:bookmarkEnd w:id="214"/>
    </w:p>
    <w:p>
      <w:pPr>
        <w:tabs>
          <w:tab w:val="left" w:pos="840"/>
        </w:tabs>
        <w:adjustRightInd w:val="0"/>
        <w:snapToGrid w:val="0"/>
        <w:spacing w:line="480" w:lineRule="exact"/>
        <w:ind w:firstLine="560" w:firstLineChars="200"/>
        <w:rPr>
          <w:color w:val="000000" w:themeColor="text1"/>
          <w:sz w:val="28"/>
          <w:szCs w:val="21"/>
        </w:rPr>
      </w:pPr>
      <w:r>
        <w:rPr>
          <w:rFonts w:hint="eastAsia"/>
          <w:color w:val="000000" w:themeColor="text1"/>
          <w:sz w:val="28"/>
          <w:szCs w:val="21"/>
        </w:rPr>
        <w:t>1.昭通市耀晨甲醇醇油有限公司</w:t>
      </w:r>
      <w:r>
        <w:rPr>
          <w:color w:val="000000" w:themeColor="text1"/>
          <w:sz w:val="28"/>
          <w:szCs w:val="21"/>
        </w:rPr>
        <w:t>委托</w:t>
      </w:r>
      <w:r>
        <w:rPr>
          <w:rFonts w:hint="eastAsia"/>
          <w:color w:val="000000" w:themeColor="text1"/>
          <w:sz w:val="28"/>
          <w:szCs w:val="21"/>
        </w:rPr>
        <w:t>昭通市鼎安科技有限公司</w:t>
      </w:r>
      <w:r>
        <w:rPr>
          <w:color w:val="000000" w:themeColor="text1"/>
          <w:sz w:val="28"/>
          <w:szCs w:val="21"/>
        </w:rPr>
        <w:t>进行安全现状评价的《委托书》；</w:t>
      </w:r>
    </w:p>
    <w:p>
      <w:pPr>
        <w:tabs>
          <w:tab w:val="left" w:pos="840"/>
        </w:tabs>
        <w:adjustRightInd w:val="0"/>
        <w:snapToGrid w:val="0"/>
        <w:spacing w:line="480" w:lineRule="exact"/>
        <w:ind w:left="560"/>
        <w:rPr>
          <w:color w:val="000000" w:themeColor="text1"/>
          <w:sz w:val="28"/>
          <w:szCs w:val="21"/>
        </w:rPr>
      </w:pPr>
      <w:r>
        <w:rPr>
          <w:color w:val="000000" w:themeColor="text1"/>
          <w:sz w:val="28"/>
          <w:szCs w:val="21"/>
        </w:rPr>
        <w:t>2.《营业执照》；</w:t>
      </w:r>
    </w:p>
    <w:p>
      <w:pPr>
        <w:tabs>
          <w:tab w:val="left" w:pos="840"/>
        </w:tabs>
        <w:adjustRightInd w:val="0"/>
        <w:snapToGrid w:val="0"/>
        <w:spacing w:line="480" w:lineRule="exact"/>
        <w:ind w:left="560"/>
        <w:rPr>
          <w:color w:val="000000" w:themeColor="text1"/>
          <w:sz w:val="28"/>
          <w:szCs w:val="21"/>
        </w:rPr>
      </w:pPr>
      <w:r>
        <w:rPr>
          <w:rFonts w:hint="eastAsia"/>
          <w:color w:val="000000" w:themeColor="text1"/>
          <w:sz w:val="28"/>
          <w:szCs w:val="21"/>
        </w:rPr>
        <w:t>3.评价组现场收集的其他资料；</w:t>
      </w:r>
    </w:p>
    <w:p>
      <w:pPr>
        <w:tabs>
          <w:tab w:val="left" w:pos="840"/>
        </w:tabs>
        <w:adjustRightInd w:val="0"/>
        <w:snapToGrid w:val="0"/>
        <w:spacing w:line="480" w:lineRule="exact"/>
        <w:ind w:left="560"/>
        <w:rPr>
          <w:color w:val="000000" w:themeColor="text1"/>
          <w:sz w:val="28"/>
          <w:szCs w:val="21"/>
        </w:rPr>
      </w:pPr>
      <w:r>
        <w:rPr>
          <w:rFonts w:hint="eastAsia"/>
          <w:color w:val="000000" w:themeColor="text1"/>
          <w:sz w:val="28"/>
          <w:szCs w:val="21"/>
        </w:rPr>
        <w:t>4</w:t>
      </w:r>
      <w:r>
        <w:rPr>
          <w:color w:val="000000" w:themeColor="text1"/>
          <w:sz w:val="28"/>
          <w:szCs w:val="21"/>
        </w:rPr>
        <w:t>.《安全评价（第三版，上、下册）》（煤炭工业出版社）；</w:t>
      </w:r>
    </w:p>
    <w:p>
      <w:pPr>
        <w:tabs>
          <w:tab w:val="left" w:pos="840"/>
        </w:tabs>
        <w:adjustRightInd w:val="0"/>
        <w:snapToGrid w:val="0"/>
        <w:spacing w:line="480" w:lineRule="exact"/>
        <w:ind w:left="560"/>
        <w:rPr>
          <w:color w:val="000000" w:themeColor="text1"/>
          <w:sz w:val="28"/>
          <w:szCs w:val="21"/>
        </w:rPr>
      </w:pPr>
      <w:r>
        <w:rPr>
          <w:rFonts w:hint="eastAsia"/>
          <w:color w:val="000000" w:themeColor="text1"/>
          <w:sz w:val="28"/>
          <w:szCs w:val="21"/>
        </w:rPr>
        <w:t>5</w:t>
      </w:r>
      <w:r>
        <w:rPr>
          <w:color w:val="000000" w:themeColor="text1"/>
          <w:sz w:val="28"/>
          <w:szCs w:val="21"/>
        </w:rPr>
        <w:t>.与本项目有关的技术文件、资料和其它图片；</w:t>
      </w:r>
    </w:p>
    <w:p>
      <w:pPr>
        <w:tabs>
          <w:tab w:val="left" w:pos="840"/>
        </w:tabs>
        <w:adjustRightInd w:val="0"/>
        <w:snapToGrid w:val="0"/>
        <w:spacing w:line="480" w:lineRule="exact"/>
        <w:ind w:left="560"/>
        <w:rPr>
          <w:color w:val="000000" w:themeColor="text1"/>
          <w:sz w:val="28"/>
          <w:szCs w:val="21"/>
        </w:rPr>
      </w:pPr>
      <w:r>
        <w:rPr>
          <w:rFonts w:hint="eastAsia"/>
          <w:color w:val="000000" w:themeColor="text1"/>
          <w:sz w:val="28"/>
          <w:szCs w:val="21"/>
        </w:rPr>
        <w:t>6</w:t>
      </w:r>
      <w:r>
        <w:rPr>
          <w:color w:val="000000" w:themeColor="text1"/>
          <w:sz w:val="28"/>
          <w:szCs w:val="21"/>
        </w:rPr>
        <w:t>.类似工程资料及参考文献。</w:t>
      </w:r>
    </w:p>
    <w:p>
      <w:pPr>
        <w:pStyle w:val="19"/>
        <w:spacing w:afterLines="100" w:line="500" w:lineRule="exact"/>
        <w:jc w:val="center"/>
        <w:rPr>
          <w:rFonts w:ascii="楷体_GB2312" w:hAnsi="宋体" w:eastAsia="楷体_GB2312"/>
          <w:color w:val="000000" w:themeColor="text1"/>
          <w:kern w:val="3"/>
        </w:rPr>
      </w:pPr>
      <w:bookmarkStart w:id="215" w:name="_Toc29069"/>
      <w:bookmarkStart w:id="216" w:name="_Toc2556"/>
      <w:bookmarkStart w:id="217" w:name="_Toc32674"/>
      <w:bookmarkStart w:id="218" w:name="_Toc23310"/>
      <w:bookmarkStart w:id="219" w:name="_Toc31197"/>
      <w:bookmarkStart w:id="220" w:name="_Toc21052"/>
      <w:bookmarkStart w:id="221" w:name="_Toc30608"/>
      <w:bookmarkStart w:id="222" w:name="_Toc1812"/>
      <w:bookmarkStart w:id="223" w:name="_Toc24458"/>
      <w:bookmarkStart w:id="224" w:name="_Toc9663"/>
      <w:bookmarkStart w:id="225" w:name="_Toc18719"/>
      <w:bookmarkStart w:id="226" w:name="_Toc25610_WPSOffice_Level2"/>
      <w:bookmarkStart w:id="227" w:name="_Toc31511"/>
      <w:bookmarkStart w:id="228" w:name="_Toc18631"/>
      <w:bookmarkStart w:id="229" w:name="_Toc17979"/>
      <w:bookmarkStart w:id="230" w:name="_Toc217444147"/>
      <w:bookmarkStart w:id="231" w:name="_Toc191729654"/>
      <w:bookmarkStart w:id="232" w:name="_Toc191728094"/>
      <w:bookmarkStart w:id="233" w:name="_Toc31778"/>
      <w:bookmarkStart w:id="234" w:name="_Toc8210"/>
      <w:bookmarkStart w:id="235" w:name="_Toc191729972"/>
      <w:bookmarkStart w:id="236" w:name="_Toc194389869"/>
      <w:r>
        <w:rPr>
          <w:rFonts w:hint="eastAsia" w:ascii="楷体_GB2312" w:hAnsi="宋体" w:eastAsia="楷体_GB2312"/>
          <w:color w:val="000000" w:themeColor="text1"/>
          <w:kern w:val="3"/>
        </w:rPr>
        <w:t>1.3评价原则</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pPr>
        <w:tabs>
          <w:tab w:val="left" w:pos="900"/>
        </w:tabs>
        <w:adjustRightInd w:val="0"/>
        <w:snapToGrid w:val="0"/>
        <w:spacing w:line="500" w:lineRule="exact"/>
        <w:ind w:firstLine="560" w:firstLineChars="200"/>
        <w:rPr>
          <w:color w:val="000000" w:themeColor="text1"/>
          <w:sz w:val="28"/>
          <w:szCs w:val="20"/>
        </w:rPr>
      </w:pPr>
      <w:r>
        <w:rPr>
          <w:rFonts w:hint="eastAsia"/>
          <w:snapToGrid w:val="0"/>
          <w:color w:val="000000" w:themeColor="text1"/>
          <w:kern w:val="0"/>
          <w:sz w:val="28"/>
          <w:szCs w:val="28"/>
        </w:rPr>
        <w:t>昭通市鼎安科技有限公司</w:t>
      </w:r>
      <w:r>
        <w:rPr>
          <w:snapToGrid w:val="0"/>
          <w:color w:val="000000" w:themeColor="text1"/>
          <w:kern w:val="0"/>
          <w:sz w:val="28"/>
          <w:szCs w:val="28"/>
        </w:rPr>
        <w:t>在对该项目进行安全现状评价工作中，始终坚持以下原则：</w:t>
      </w:r>
    </w:p>
    <w:p>
      <w:pPr>
        <w:tabs>
          <w:tab w:val="left" w:pos="0"/>
          <w:tab w:val="left" w:pos="945"/>
          <w:tab w:val="left" w:pos="1680"/>
        </w:tabs>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1</w:t>
      </w:r>
      <w:r>
        <w:rPr>
          <w:rFonts w:hint="eastAsia"/>
          <w:snapToGrid w:val="0"/>
          <w:color w:val="000000" w:themeColor="text1"/>
          <w:kern w:val="0"/>
          <w:sz w:val="28"/>
          <w:szCs w:val="28"/>
        </w:rPr>
        <w:t>.</w:t>
      </w:r>
      <w:r>
        <w:rPr>
          <w:snapToGrid w:val="0"/>
          <w:color w:val="000000" w:themeColor="text1"/>
          <w:kern w:val="0"/>
          <w:sz w:val="28"/>
          <w:szCs w:val="28"/>
        </w:rPr>
        <w:t>严格执行国家现行有关法律、法规、标准和规范的要求，对该项目进行科学、客观、公正、独立的评价。</w:t>
      </w:r>
    </w:p>
    <w:p>
      <w:pPr>
        <w:tabs>
          <w:tab w:val="left" w:pos="0"/>
          <w:tab w:val="left" w:pos="945"/>
          <w:tab w:val="left" w:pos="1680"/>
        </w:tabs>
        <w:spacing w:line="500" w:lineRule="exact"/>
        <w:ind w:firstLine="560" w:firstLineChars="200"/>
        <w:rPr>
          <w:color w:val="000000" w:themeColor="text1"/>
          <w:sz w:val="28"/>
          <w:szCs w:val="28"/>
        </w:rPr>
      </w:pPr>
      <w:r>
        <w:rPr>
          <w:color w:val="000000" w:themeColor="text1"/>
          <w:sz w:val="28"/>
          <w:szCs w:val="28"/>
        </w:rPr>
        <w:t>2</w:t>
      </w:r>
      <w:r>
        <w:rPr>
          <w:rFonts w:hint="eastAsia"/>
          <w:color w:val="000000" w:themeColor="text1"/>
          <w:sz w:val="28"/>
          <w:szCs w:val="28"/>
        </w:rPr>
        <w:t>.</w:t>
      </w:r>
      <w:r>
        <w:rPr>
          <w:color w:val="000000" w:themeColor="text1"/>
          <w:sz w:val="28"/>
          <w:szCs w:val="28"/>
        </w:rPr>
        <w:t>采用可靠、适用的评价技术和评价方法对该项目进行定性、定量评价，遵循针对性、技术可行性、经济合理性、可操作性的原则，提出消除或减弱危险、有害因素的技术和管理对策措施建议。</w:t>
      </w:r>
    </w:p>
    <w:p>
      <w:pPr>
        <w:tabs>
          <w:tab w:val="left" w:pos="0"/>
          <w:tab w:val="left" w:pos="945"/>
          <w:tab w:val="left" w:pos="1680"/>
        </w:tabs>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3</w:t>
      </w:r>
      <w:r>
        <w:rPr>
          <w:rFonts w:hint="eastAsia"/>
          <w:snapToGrid w:val="0"/>
          <w:color w:val="000000" w:themeColor="text1"/>
          <w:kern w:val="0"/>
          <w:sz w:val="28"/>
          <w:szCs w:val="28"/>
        </w:rPr>
        <w:t>.</w:t>
      </w:r>
      <w:r>
        <w:rPr>
          <w:snapToGrid w:val="0"/>
          <w:color w:val="000000" w:themeColor="text1"/>
          <w:kern w:val="0"/>
          <w:sz w:val="28"/>
          <w:szCs w:val="28"/>
        </w:rPr>
        <w:t>真实、准确地做出评价结论，并对在当时条件下做出的安全评价结果承担法律责任。</w:t>
      </w:r>
    </w:p>
    <w:p>
      <w:pPr>
        <w:tabs>
          <w:tab w:val="left" w:pos="0"/>
          <w:tab w:val="left" w:pos="945"/>
          <w:tab w:val="left" w:pos="1680"/>
        </w:tabs>
        <w:spacing w:line="500" w:lineRule="exact"/>
        <w:ind w:firstLine="560" w:firstLineChars="200"/>
        <w:rPr>
          <w:snapToGrid w:val="0"/>
          <w:color w:val="000000" w:themeColor="text1"/>
          <w:kern w:val="0"/>
          <w:sz w:val="28"/>
          <w:szCs w:val="28"/>
        </w:rPr>
      </w:pPr>
      <w:r>
        <w:rPr>
          <w:color w:val="000000" w:themeColor="text1"/>
          <w:sz w:val="28"/>
          <w:szCs w:val="20"/>
        </w:rPr>
        <w:t>4</w:t>
      </w:r>
      <w:r>
        <w:rPr>
          <w:rFonts w:hint="eastAsia"/>
          <w:color w:val="000000" w:themeColor="text1"/>
          <w:sz w:val="28"/>
          <w:szCs w:val="20"/>
        </w:rPr>
        <w:t>.</w:t>
      </w:r>
      <w:r>
        <w:rPr>
          <w:color w:val="000000" w:themeColor="text1"/>
          <w:sz w:val="28"/>
          <w:szCs w:val="20"/>
        </w:rPr>
        <w:t>遵纪守法、</w:t>
      </w:r>
      <w:r>
        <w:rPr>
          <w:snapToGrid w:val="0"/>
          <w:color w:val="000000" w:themeColor="text1"/>
          <w:kern w:val="0"/>
          <w:sz w:val="28"/>
          <w:szCs w:val="28"/>
        </w:rPr>
        <w:t>恪守职业道德、诚实守信，对被评价单位的技术和商业秘密保密。</w:t>
      </w:r>
    </w:p>
    <w:p>
      <w:pPr>
        <w:pStyle w:val="19"/>
        <w:spacing w:afterLines="100" w:line="500" w:lineRule="exact"/>
        <w:jc w:val="center"/>
        <w:rPr>
          <w:rFonts w:ascii="楷体_GB2312" w:hAnsi="宋体" w:eastAsia="楷体_GB2312"/>
          <w:color w:val="000000" w:themeColor="text1"/>
          <w:kern w:val="3"/>
        </w:rPr>
      </w:pPr>
      <w:bookmarkStart w:id="237" w:name="_Toc5893"/>
      <w:bookmarkStart w:id="238" w:name="_Toc15738"/>
      <w:bookmarkStart w:id="239" w:name="_Toc191729655"/>
      <w:bookmarkStart w:id="240" w:name="_Toc217444148"/>
      <w:bookmarkStart w:id="241" w:name="_Toc9954"/>
      <w:bookmarkStart w:id="242" w:name="_Toc14175"/>
      <w:bookmarkStart w:id="243" w:name="_Toc1198"/>
      <w:bookmarkStart w:id="244" w:name="_Toc191729973"/>
      <w:bookmarkStart w:id="245" w:name="_Toc14558"/>
      <w:bookmarkStart w:id="246" w:name="_Toc12445_WPSOffice_Level2"/>
      <w:bookmarkStart w:id="247" w:name="_Toc20366"/>
      <w:bookmarkStart w:id="248" w:name="_Toc191728095"/>
      <w:bookmarkStart w:id="249" w:name="_Toc1521"/>
      <w:bookmarkStart w:id="250" w:name="_Toc7992"/>
      <w:bookmarkStart w:id="251" w:name="_Toc2259"/>
      <w:bookmarkStart w:id="252" w:name="_Toc194389870"/>
      <w:bookmarkStart w:id="253" w:name="_Toc13799"/>
      <w:bookmarkStart w:id="254" w:name="_Toc3137"/>
      <w:bookmarkStart w:id="255" w:name="_Toc4698"/>
      <w:bookmarkStart w:id="256" w:name="_Toc21619"/>
      <w:bookmarkStart w:id="257" w:name="_Toc24878"/>
      <w:bookmarkStart w:id="258" w:name="_Toc26709"/>
      <w:r>
        <w:rPr>
          <w:rFonts w:hint="eastAsia" w:ascii="楷体_GB2312" w:hAnsi="宋体" w:eastAsia="楷体_GB2312"/>
          <w:color w:val="000000" w:themeColor="text1"/>
          <w:kern w:val="3"/>
        </w:rPr>
        <w:t>1.4评价范围</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本次评价范围为</w:t>
      </w:r>
      <w:r>
        <w:rPr>
          <w:rFonts w:hint="eastAsia"/>
          <w:color w:val="000000" w:themeColor="text1"/>
          <w:sz w:val="28"/>
          <w:szCs w:val="21"/>
        </w:rPr>
        <w:t>昭通市耀晨甲醇醇油有限公司经营甲醇所涉及</w:t>
      </w:r>
      <w:r>
        <w:rPr>
          <w:snapToGrid w:val="0"/>
          <w:color w:val="000000" w:themeColor="text1"/>
          <w:kern w:val="0"/>
          <w:sz w:val="28"/>
          <w:szCs w:val="28"/>
        </w:rPr>
        <w:t>的厂址、总平面布置、工艺及装置、储存设施、安全设施及配套公辅设施、安全管理</w:t>
      </w:r>
      <w:r>
        <w:rPr>
          <w:bCs/>
          <w:color w:val="000000" w:themeColor="text1"/>
          <w:sz w:val="28"/>
        </w:rPr>
        <w:t>等</w:t>
      </w:r>
      <w:r>
        <w:rPr>
          <w:color w:val="000000" w:themeColor="text1"/>
          <w:kern w:val="3"/>
          <w:sz w:val="28"/>
        </w:rPr>
        <w:t>方面</w:t>
      </w:r>
      <w:r>
        <w:rPr>
          <w:snapToGrid w:val="0"/>
          <w:color w:val="000000" w:themeColor="text1"/>
          <w:kern w:val="0"/>
          <w:sz w:val="28"/>
        </w:rPr>
        <w:t>。</w:t>
      </w:r>
    </w:p>
    <w:p>
      <w:pPr>
        <w:adjustRightInd w:val="0"/>
        <w:snapToGrid w:val="0"/>
        <w:spacing w:line="500" w:lineRule="exact"/>
        <w:ind w:firstLine="560" w:firstLineChars="200"/>
        <w:rPr>
          <w:rFonts w:hint="eastAsia" w:eastAsia="宋体"/>
          <w:color w:val="000000" w:themeColor="text1"/>
          <w:sz w:val="28"/>
          <w:szCs w:val="28"/>
          <w:lang w:eastAsia="zh-CN"/>
        </w:rPr>
      </w:pPr>
      <w:bookmarkStart w:id="259" w:name="_Toc191729974"/>
      <w:bookmarkStart w:id="260" w:name="_Toc191729656"/>
      <w:bookmarkStart w:id="261" w:name="_Toc194389871"/>
      <w:bookmarkStart w:id="262" w:name="_Toc19290"/>
      <w:bookmarkStart w:id="263" w:name="_Toc191728096"/>
      <w:bookmarkStart w:id="264" w:name="_Toc217444149"/>
      <w:r>
        <w:rPr>
          <w:rFonts w:hint="eastAsia"/>
          <w:color w:val="000000" w:themeColor="text1"/>
          <w:sz w:val="28"/>
          <w:szCs w:val="21"/>
        </w:rPr>
        <w:t>昭通市耀晨甲醇醇油有限公司</w:t>
      </w:r>
      <w:r>
        <w:rPr>
          <w:snapToGrid w:val="0"/>
          <w:color w:val="000000" w:themeColor="text1"/>
          <w:kern w:val="0"/>
          <w:sz w:val="28"/>
          <w:szCs w:val="28"/>
        </w:rPr>
        <w:t>项目之外的</w:t>
      </w:r>
      <w:r>
        <w:rPr>
          <w:color w:val="000000" w:themeColor="text1"/>
          <w:sz w:val="28"/>
          <w:szCs w:val="28"/>
        </w:rPr>
        <w:t>危险化学品运输、环境保护、职业卫生等方面不在本次评价范围内，但在报告中会有所提及，应按照国家有关规定及相关部门的要求执行。</w:t>
      </w:r>
      <w:r>
        <w:rPr>
          <w:rFonts w:hint="eastAsia" w:ascii="宋体" w:hAnsi="宋体"/>
          <w:snapToGrid w:val="0"/>
          <w:color w:val="000000"/>
          <w:kern w:val="0"/>
          <w:sz w:val="28"/>
          <w:szCs w:val="28"/>
        </w:rPr>
        <w:t>环境影响评价和消防设计等文件资料为准</w:t>
      </w:r>
      <w:r>
        <w:rPr>
          <w:rFonts w:hint="eastAsia" w:ascii="宋体" w:hAnsi="宋体"/>
          <w:snapToGrid w:val="0"/>
          <w:color w:val="000000"/>
          <w:kern w:val="0"/>
          <w:sz w:val="28"/>
          <w:szCs w:val="28"/>
          <w:lang w:eastAsia="zh-CN"/>
        </w:rPr>
        <w:t>。</w:t>
      </w:r>
    </w:p>
    <w:p>
      <w:pPr>
        <w:pStyle w:val="19"/>
        <w:spacing w:afterLines="100" w:line="500" w:lineRule="exact"/>
        <w:jc w:val="center"/>
        <w:rPr>
          <w:rFonts w:ascii="楷体_GB2312" w:hAnsi="宋体" w:eastAsia="楷体_GB2312"/>
          <w:color w:val="000000" w:themeColor="text1"/>
          <w:kern w:val="3"/>
        </w:rPr>
      </w:pPr>
      <w:bookmarkStart w:id="265" w:name="_Toc27007"/>
      <w:bookmarkStart w:id="266" w:name="_Toc30089"/>
      <w:bookmarkStart w:id="267" w:name="_Toc19878"/>
      <w:bookmarkStart w:id="268" w:name="_Toc9995"/>
      <w:bookmarkStart w:id="269" w:name="_Toc31954"/>
      <w:bookmarkStart w:id="270" w:name="_Toc4018"/>
      <w:bookmarkStart w:id="271" w:name="_Toc15524_WPSOffice_Level2"/>
      <w:bookmarkStart w:id="272" w:name="_Toc24341"/>
      <w:bookmarkStart w:id="273" w:name="_Toc15897"/>
      <w:bookmarkStart w:id="274" w:name="_Toc22194"/>
      <w:bookmarkStart w:id="275" w:name="_Toc12498"/>
      <w:bookmarkStart w:id="276" w:name="_Toc21528"/>
      <w:bookmarkStart w:id="277" w:name="_Toc17409"/>
      <w:bookmarkStart w:id="278" w:name="_Toc2969"/>
      <w:bookmarkStart w:id="279" w:name="_Toc30572"/>
      <w:bookmarkStart w:id="280" w:name="_Toc23603"/>
      <w:r>
        <w:rPr>
          <w:rFonts w:hint="eastAsia" w:ascii="楷体_GB2312" w:hAnsi="宋体" w:eastAsia="楷体_GB2312"/>
          <w:color w:val="000000" w:themeColor="text1"/>
          <w:kern w:val="3"/>
        </w:rPr>
        <w:t>1.5评价程序</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adjustRightInd w:val="0"/>
        <w:snapToGrid w:val="0"/>
        <w:spacing w:line="500" w:lineRule="exact"/>
        <w:ind w:firstLine="560" w:firstLineChars="200"/>
        <w:rPr>
          <w:rFonts w:hint="eastAsia" w:ascii="宋体" w:hAnsi="宋体"/>
          <w:kern w:val="3"/>
          <w:sz w:val="28"/>
          <w:szCs w:val="28"/>
        </w:rPr>
      </w:pPr>
      <w:r>
        <w:rPr>
          <w:rFonts w:ascii="宋体" w:hAnsi="宋体" w:cs="宋体"/>
          <w:kern w:val="0"/>
          <w:sz w:val="28"/>
          <w:szCs w:val="28"/>
        </w:rPr>
        <w:t>安全</w:t>
      </w:r>
      <w:r>
        <w:rPr>
          <w:rFonts w:hint="eastAsia" w:ascii="宋体" w:hAnsi="宋体" w:cs="宋体"/>
          <w:kern w:val="0"/>
          <w:sz w:val="28"/>
          <w:szCs w:val="28"/>
          <w:lang w:val="en-US" w:eastAsia="zh-CN"/>
        </w:rPr>
        <w:t>评价</w:t>
      </w:r>
      <w:r>
        <w:rPr>
          <w:rFonts w:ascii="宋体" w:hAnsi="宋体" w:cs="宋体"/>
          <w:kern w:val="0"/>
          <w:sz w:val="28"/>
          <w:szCs w:val="28"/>
        </w:rPr>
        <w:t>程序主要包括：准备阶段；危险、有害因素辨识与分析；定性定量评价；提出安全对策措施；形成安全</w:t>
      </w:r>
      <w:r>
        <w:rPr>
          <w:rFonts w:hint="eastAsia" w:ascii="宋体" w:hAnsi="宋体" w:cs="宋体"/>
          <w:kern w:val="0"/>
          <w:sz w:val="28"/>
          <w:szCs w:val="28"/>
          <w:lang w:val="en-US" w:eastAsia="zh-CN"/>
        </w:rPr>
        <w:t>评价</w:t>
      </w:r>
      <w:r>
        <w:rPr>
          <w:rFonts w:ascii="宋体" w:hAnsi="宋体" w:cs="宋体"/>
          <w:kern w:val="0"/>
          <w:sz w:val="28"/>
          <w:szCs w:val="28"/>
        </w:rPr>
        <w:t>结论及建议；编制安全</w:t>
      </w:r>
      <w:r>
        <w:rPr>
          <w:rFonts w:hint="eastAsia" w:ascii="宋体" w:hAnsi="宋体" w:cs="宋体"/>
          <w:kern w:val="0"/>
          <w:sz w:val="28"/>
          <w:szCs w:val="28"/>
          <w:lang w:val="en-US" w:eastAsia="zh-CN"/>
        </w:rPr>
        <w:t>评价</w:t>
      </w:r>
      <w:r>
        <w:rPr>
          <w:rFonts w:ascii="宋体" w:hAnsi="宋体" w:cs="宋体"/>
          <w:kern w:val="0"/>
          <w:sz w:val="28"/>
          <w:szCs w:val="28"/>
        </w:rPr>
        <w:t>报告</w:t>
      </w:r>
    </w:p>
    <w:p>
      <w:pPr>
        <w:adjustRightInd w:val="0"/>
        <w:snapToGrid w:val="0"/>
        <w:spacing w:line="500" w:lineRule="exact"/>
        <w:ind w:firstLine="560" w:firstLineChars="200"/>
        <w:rPr>
          <w:rFonts w:ascii="宋体" w:hAnsi="宋体"/>
          <w:kern w:val="3"/>
          <w:sz w:val="28"/>
          <w:szCs w:val="28"/>
        </w:rPr>
      </w:pPr>
      <w:r>
        <w:rPr>
          <w:rFonts w:hint="eastAsia" w:ascii="宋体" w:hAnsi="宋体"/>
          <w:kern w:val="3"/>
          <w:sz w:val="28"/>
          <w:szCs w:val="28"/>
        </w:rPr>
        <w:t>（1）</w:t>
      </w:r>
      <w:r>
        <w:rPr>
          <w:rFonts w:ascii="宋体" w:hAnsi="宋体"/>
          <w:kern w:val="3"/>
          <w:sz w:val="28"/>
          <w:szCs w:val="28"/>
        </w:rPr>
        <w:t>前期准备工作</w:t>
      </w:r>
    </w:p>
    <w:p>
      <w:pPr>
        <w:adjustRightInd w:val="0"/>
        <w:snapToGrid w:val="0"/>
        <w:spacing w:line="500" w:lineRule="exact"/>
        <w:ind w:firstLine="560" w:firstLineChars="200"/>
        <w:rPr>
          <w:rFonts w:ascii="宋体" w:hAnsi="宋体"/>
          <w:kern w:val="3"/>
          <w:sz w:val="28"/>
          <w:szCs w:val="28"/>
        </w:rPr>
      </w:pPr>
      <w:r>
        <w:rPr>
          <w:rFonts w:ascii="宋体" w:hAnsi="宋体" w:cs="宋体"/>
          <w:kern w:val="0"/>
          <w:sz w:val="28"/>
          <w:szCs w:val="28"/>
        </w:rPr>
        <w:t>明确被评价对象和范围，收集国内外相关法律法规、技术标准及工程、系统的技术资料</w:t>
      </w:r>
      <w:r>
        <w:rPr>
          <w:rFonts w:ascii="宋体" w:hAnsi="宋体"/>
          <w:kern w:val="3"/>
          <w:sz w:val="28"/>
          <w:szCs w:val="28"/>
        </w:rPr>
        <w:t>。</w:t>
      </w:r>
    </w:p>
    <w:p>
      <w:pPr>
        <w:adjustRightInd w:val="0"/>
        <w:snapToGrid w:val="0"/>
        <w:spacing w:line="500" w:lineRule="exact"/>
        <w:ind w:firstLine="560" w:firstLineChars="200"/>
        <w:rPr>
          <w:rFonts w:hint="eastAsia" w:ascii="宋体" w:hAnsi="宋体"/>
          <w:color w:val="FF0000"/>
          <w:kern w:val="3"/>
          <w:sz w:val="28"/>
          <w:szCs w:val="28"/>
        </w:rPr>
      </w:pPr>
      <w:r>
        <w:rPr>
          <w:rFonts w:hint="eastAsia" w:ascii="宋体" w:hAnsi="宋体"/>
          <w:kern w:val="3"/>
          <w:sz w:val="28"/>
          <w:szCs w:val="28"/>
        </w:rPr>
        <w:t>（2）</w:t>
      </w:r>
      <w:r>
        <w:rPr>
          <w:rFonts w:ascii="宋体" w:hAnsi="宋体" w:cs="宋体"/>
          <w:kern w:val="0"/>
          <w:sz w:val="28"/>
          <w:szCs w:val="28"/>
        </w:rPr>
        <w:t>危险、有害因素辨识与分析</w:t>
      </w:r>
    </w:p>
    <w:p>
      <w:pPr>
        <w:adjustRightInd w:val="0"/>
        <w:snapToGrid w:val="0"/>
        <w:spacing w:line="500" w:lineRule="exact"/>
        <w:ind w:firstLine="560" w:firstLineChars="200"/>
        <w:rPr>
          <w:rFonts w:ascii="宋体" w:hAnsi="宋体"/>
          <w:color w:val="FF0000"/>
          <w:kern w:val="3"/>
          <w:sz w:val="28"/>
          <w:szCs w:val="28"/>
        </w:rPr>
      </w:pPr>
      <w:r>
        <w:rPr>
          <w:rFonts w:ascii="宋体" w:hAnsi="宋体" w:cs="宋体"/>
          <w:kern w:val="0"/>
          <w:sz w:val="28"/>
          <w:szCs w:val="28"/>
        </w:rPr>
        <w:t>根据被评价的工程、系统的情况，辨识和分析危险、有害因素，确定危险、有害因素存在的部位、存在的方式、事故发生的途径及其变化的规律。</w:t>
      </w:r>
    </w:p>
    <w:p>
      <w:pPr>
        <w:adjustRightInd w:val="0"/>
        <w:snapToGrid w:val="0"/>
        <w:spacing w:line="500" w:lineRule="exact"/>
        <w:ind w:firstLine="560" w:firstLineChars="200"/>
        <w:rPr>
          <w:rFonts w:hint="eastAsia" w:ascii="宋体" w:hAnsi="宋体"/>
          <w:color w:val="FF0000"/>
          <w:kern w:val="3"/>
          <w:sz w:val="28"/>
          <w:szCs w:val="28"/>
        </w:rPr>
      </w:pPr>
      <w:r>
        <w:rPr>
          <w:rFonts w:hint="eastAsia" w:ascii="宋体" w:hAnsi="宋体"/>
          <w:kern w:val="3"/>
          <w:sz w:val="28"/>
          <w:szCs w:val="28"/>
        </w:rPr>
        <w:t>（3）</w:t>
      </w:r>
      <w:r>
        <w:rPr>
          <w:rFonts w:ascii="宋体" w:hAnsi="宋体" w:cs="宋体"/>
          <w:kern w:val="0"/>
          <w:sz w:val="28"/>
          <w:szCs w:val="28"/>
        </w:rPr>
        <w:t>定性、定量评价</w:t>
      </w:r>
    </w:p>
    <w:p>
      <w:pPr>
        <w:adjustRightInd w:val="0"/>
        <w:snapToGrid w:val="0"/>
        <w:spacing w:line="500" w:lineRule="exact"/>
        <w:ind w:firstLine="560" w:firstLineChars="200"/>
        <w:rPr>
          <w:rFonts w:ascii="宋体" w:hAnsi="宋体"/>
          <w:color w:val="FF0000"/>
          <w:kern w:val="3"/>
          <w:sz w:val="28"/>
          <w:szCs w:val="28"/>
        </w:rPr>
      </w:pPr>
      <w:r>
        <w:rPr>
          <w:rFonts w:ascii="宋体" w:hAnsi="宋体" w:cs="宋体"/>
          <w:kern w:val="0"/>
          <w:sz w:val="28"/>
          <w:szCs w:val="28"/>
        </w:rPr>
        <w:t>在危险、有害因素辨识和分析的基础上，划分评价单元，选择合理的评价方法，对工程、系统发生事故的可能性和严重程度进行定性、定量评价。</w:t>
      </w:r>
    </w:p>
    <w:p>
      <w:pPr>
        <w:adjustRightInd w:val="0"/>
        <w:snapToGrid w:val="0"/>
        <w:spacing w:line="500" w:lineRule="exact"/>
        <w:ind w:firstLine="560" w:firstLineChars="200"/>
        <w:rPr>
          <w:rFonts w:hint="eastAsia" w:ascii="宋体" w:hAnsi="宋体" w:cs="宋体"/>
          <w:kern w:val="0"/>
          <w:sz w:val="28"/>
          <w:szCs w:val="28"/>
        </w:rPr>
      </w:pPr>
      <w:r>
        <w:rPr>
          <w:rFonts w:hint="eastAsia" w:ascii="宋体" w:hAnsi="宋体"/>
          <w:kern w:val="3"/>
          <w:sz w:val="28"/>
          <w:szCs w:val="28"/>
        </w:rPr>
        <w:t>（4）</w:t>
      </w:r>
      <w:r>
        <w:rPr>
          <w:rFonts w:ascii="宋体" w:hAnsi="宋体" w:cs="宋体"/>
          <w:kern w:val="0"/>
          <w:sz w:val="28"/>
          <w:szCs w:val="28"/>
        </w:rPr>
        <w:t>安全对策措施</w:t>
      </w:r>
    </w:p>
    <w:p>
      <w:pPr>
        <w:adjustRightInd w:val="0"/>
        <w:snapToGrid w:val="0"/>
        <w:spacing w:line="500" w:lineRule="exact"/>
        <w:ind w:firstLine="560" w:firstLineChars="200"/>
        <w:rPr>
          <w:rFonts w:ascii="宋体" w:hAnsi="宋体"/>
          <w:color w:val="FF0000"/>
          <w:kern w:val="3"/>
          <w:sz w:val="28"/>
          <w:szCs w:val="28"/>
        </w:rPr>
      </w:pPr>
      <w:r>
        <w:rPr>
          <w:rFonts w:ascii="宋体" w:hAnsi="宋体" w:cs="宋体"/>
          <w:kern w:val="0"/>
          <w:sz w:val="28"/>
          <w:szCs w:val="28"/>
        </w:rPr>
        <w:t>根据定性、定量评价结果，提出消除或减弱危险、有害因素的技术和管理措施及建议。</w:t>
      </w:r>
    </w:p>
    <w:p>
      <w:pPr>
        <w:adjustRightInd w:val="0"/>
        <w:snapToGrid w:val="0"/>
        <w:spacing w:line="500" w:lineRule="exact"/>
        <w:ind w:firstLine="560" w:firstLineChars="200"/>
        <w:rPr>
          <w:rFonts w:hint="eastAsia" w:ascii="宋体" w:hAnsi="宋体" w:cs="宋体"/>
          <w:kern w:val="0"/>
          <w:sz w:val="28"/>
          <w:szCs w:val="28"/>
        </w:rPr>
      </w:pPr>
      <w:r>
        <w:rPr>
          <w:rFonts w:hint="eastAsia" w:ascii="宋体" w:hAnsi="宋体"/>
          <w:kern w:val="3"/>
          <w:sz w:val="28"/>
          <w:szCs w:val="28"/>
        </w:rPr>
        <w:t>（5）</w:t>
      </w:r>
      <w:r>
        <w:rPr>
          <w:rFonts w:ascii="宋体" w:hAnsi="宋体" w:cs="宋体"/>
          <w:kern w:val="0"/>
          <w:sz w:val="28"/>
          <w:szCs w:val="28"/>
        </w:rPr>
        <w:t>安全</w:t>
      </w:r>
      <w:r>
        <w:rPr>
          <w:rFonts w:hint="eastAsia" w:ascii="宋体" w:hAnsi="宋体" w:cs="宋体"/>
          <w:kern w:val="0"/>
          <w:sz w:val="28"/>
          <w:szCs w:val="28"/>
          <w:lang w:val="en-US" w:eastAsia="zh-CN"/>
        </w:rPr>
        <w:t>评价</w:t>
      </w:r>
      <w:r>
        <w:rPr>
          <w:rFonts w:ascii="宋体" w:hAnsi="宋体" w:cs="宋体"/>
          <w:kern w:val="0"/>
          <w:sz w:val="28"/>
          <w:szCs w:val="28"/>
        </w:rPr>
        <w:t>结论及建议</w:t>
      </w:r>
    </w:p>
    <w:p>
      <w:pPr>
        <w:adjustRightInd w:val="0"/>
        <w:snapToGrid w:val="0"/>
        <w:spacing w:line="500" w:lineRule="exact"/>
        <w:ind w:firstLine="560" w:firstLineChars="200"/>
        <w:rPr>
          <w:rFonts w:ascii="宋体" w:hAnsi="宋体"/>
          <w:color w:val="FF0000"/>
          <w:kern w:val="3"/>
          <w:sz w:val="28"/>
          <w:szCs w:val="28"/>
        </w:rPr>
      </w:pPr>
      <w:r>
        <w:rPr>
          <w:rFonts w:ascii="宋体" w:hAnsi="宋体" w:cs="宋体"/>
          <w:kern w:val="0"/>
          <w:sz w:val="28"/>
          <w:szCs w:val="28"/>
        </w:rPr>
        <w:t>简要地列出主要危险、有害因素的评价结果，指出工程、系统应重点防范的重大危险因素，明确生产经营者应重视的重要安全措施。</w:t>
      </w:r>
    </w:p>
    <w:p>
      <w:pPr>
        <w:adjustRightInd w:val="0"/>
        <w:snapToGrid w:val="0"/>
        <w:spacing w:line="500" w:lineRule="exact"/>
        <w:ind w:firstLine="300"/>
        <w:rPr>
          <w:rFonts w:ascii="宋体" w:hAnsi="宋体"/>
          <w:color w:val="000000"/>
          <w:kern w:val="3"/>
          <w:sz w:val="28"/>
          <w:szCs w:val="28"/>
        </w:rPr>
      </w:pPr>
      <w:r>
        <w:rPr>
          <w:rFonts w:ascii="宋体" w:hAnsi="宋体"/>
          <w:color w:val="000000"/>
          <w:kern w:val="3"/>
          <w:sz w:val="28"/>
          <w:szCs w:val="28"/>
        </w:rPr>
        <w:t xml:space="preserve">  危险化学品经营单位安全</w:t>
      </w:r>
      <w:r>
        <w:rPr>
          <w:rFonts w:hint="eastAsia" w:ascii="宋体" w:hAnsi="宋体"/>
          <w:color w:val="000000"/>
          <w:kern w:val="3"/>
          <w:sz w:val="28"/>
          <w:szCs w:val="28"/>
          <w:lang w:val="en-US" w:eastAsia="zh-CN"/>
        </w:rPr>
        <w:t>评价</w:t>
      </w:r>
      <w:r>
        <w:rPr>
          <w:rFonts w:ascii="宋体" w:hAnsi="宋体"/>
          <w:color w:val="000000"/>
          <w:kern w:val="3"/>
          <w:sz w:val="28"/>
          <w:szCs w:val="28"/>
        </w:rPr>
        <w:t>程序见</w:t>
      </w:r>
      <w:r>
        <w:rPr>
          <w:rFonts w:hint="eastAsia" w:ascii="宋体" w:hAnsi="宋体"/>
          <w:color w:val="000000"/>
          <w:kern w:val="3"/>
          <w:sz w:val="28"/>
          <w:szCs w:val="28"/>
        </w:rPr>
        <w:t>图1-1</w:t>
      </w:r>
      <w:r>
        <w:rPr>
          <w:rFonts w:ascii="宋体" w:hAnsi="宋体"/>
          <w:color w:val="000000"/>
          <w:kern w:val="3"/>
          <w:sz w:val="28"/>
          <w:szCs w:val="28"/>
        </w:rPr>
        <w:t>所示。</w:t>
      </w:r>
    </w:p>
    <w:p>
      <w:pPr>
        <w:pStyle w:val="2"/>
        <w:jc w:val="center"/>
        <w:rPr>
          <w:rFonts w:ascii="宋体" w:hAnsi="宋体"/>
          <w:color w:val="000000"/>
          <w:kern w:val="3"/>
          <w:sz w:val="28"/>
          <w:szCs w:val="28"/>
        </w:rPr>
      </w:pPr>
      <w:r>
        <w:rPr>
          <w:rFonts w:ascii="宋体" w:hAnsi="宋体"/>
          <w:color w:val="000000"/>
          <w:kern w:val="3"/>
          <w:sz w:val="28"/>
          <w:szCs w:val="28"/>
        </w:rPr>
        <w:pict>
          <v:shape id="Picture 2505" o:spid="_x0000_s2063" o:spt="75" type="#_x0000_t75" style="position:absolute;left:0pt;margin-left:144.75pt;margin-top:313.85pt;height:273pt;width:182.9pt;mso-position-horizontal-relative:margin;mso-position-vertical-relative:margin;mso-wrap-distance-bottom:0pt;mso-wrap-distance-top:0pt;z-index:251671552;mso-width-relative:page;mso-height-relative:page;" o:ole="t" filled="f" o:preferrelative="t" stroked="f" coordsize="21600,21600" o:allowoverlap="f">
            <v:path/>
            <v:fill on="f" focussize="0,0"/>
            <v:stroke on="f"/>
            <v:imagedata r:id="rId9" cropleft="22079f" cropright="20962f" cropbottom="1986f" o:title=""/>
            <o:lock v:ext="edit" grouping="f" rotation="f" text="f" aspectratio="t"/>
            <w10:wrap type="topAndBottom"/>
          </v:shape>
          <o:OLEObject Type="Embed" ProgID="" ShapeID="Picture 2505" DrawAspect="Content" ObjectID="_1468075725" r:id="rId8">
            <o:LockedField>false</o:LockedField>
          </o:OLEObject>
        </w:pict>
      </w:r>
      <w:r>
        <w:rPr>
          <w:rFonts w:hint="eastAsia" w:ascii="宋体" w:hAnsi="宋体"/>
          <w:color w:val="000000"/>
          <w:kern w:val="3"/>
          <w:sz w:val="28"/>
          <w:szCs w:val="28"/>
        </w:rPr>
        <w:t>图1-1</w:t>
      </w:r>
      <w:r>
        <w:rPr>
          <w:rFonts w:ascii="宋体" w:hAnsi="宋体"/>
          <w:color w:val="000000"/>
          <w:kern w:val="3"/>
          <w:sz w:val="28"/>
          <w:szCs w:val="28"/>
        </w:rPr>
        <w:t>安全</w:t>
      </w:r>
      <w:r>
        <w:rPr>
          <w:rFonts w:hint="eastAsia" w:ascii="宋体" w:hAnsi="宋体"/>
          <w:color w:val="000000"/>
          <w:kern w:val="3"/>
          <w:sz w:val="28"/>
          <w:szCs w:val="28"/>
          <w:lang w:val="en-US" w:eastAsia="zh-CN"/>
        </w:rPr>
        <w:t>评价</w:t>
      </w:r>
      <w:r>
        <w:rPr>
          <w:rFonts w:ascii="宋体" w:hAnsi="宋体"/>
          <w:color w:val="000000"/>
          <w:kern w:val="3"/>
          <w:sz w:val="28"/>
          <w:szCs w:val="28"/>
        </w:rPr>
        <w:t>程序见</w:t>
      </w:r>
      <w:r>
        <w:rPr>
          <w:rFonts w:hint="eastAsia" w:ascii="宋体" w:hAnsi="宋体"/>
          <w:color w:val="000000"/>
          <w:kern w:val="3"/>
          <w:sz w:val="28"/>
          <w:szCs w:val="28"/>
        </w:rPr>
        <w:t>图</w:t>
      </w:r>
    </w:p>
    <w:p>
      <w:pPr>
        <w:pStyle w:val="2"/>
      </w:pPr>
    </w:p>
    <w:p>
      <w:pPr>
        <w:pStyle w:val="19"/>
        <w:spacing w:afterLines="100" w:line="500" w:lineRule="exact"/>
        <w:jc w:val="center"/>
        <w:rPr>
          <w:rFonts w:ascii="楷体_GB2312" w:hAnsi="宋体" w:eastAsia="楷体_GB2312"/>
          <w:color w:val="000000" w:themeColor="text1"/>
          <w:kern w:val="3"/>
        </w:rPr>
      </w:pPr>
      <w:bookmarkStart w:id="281" w:name="_Toc12154"/>
      <w:bookmarkStart w:id="282" w:name="_Toc5883_WPSOffice_Level2"/>
      <w:r>
        <w:rPr>
          <w:rFonts w:hint="eastAsia" w:ascii="楷体_GB2312" w:hAnsi="宋体" w:eastAsia="楷体_GB2312"/>
          <w:color w:val="000000" w:themeColor="text1"/>
          <w:kern w:val="3"/>
        </w:rPr>
        <w:t>1.6评价基准日</w:t>
      </w:r>
      <w:bookmarkEnd w:id="281"/>
      <w:bookmarkEnd w:id="282"/>
    </w:p>
    <w:p>
      <w:pPr>
        <w:adjustRightInd w:val="0"/>
        <w:snapToGrid w:val="0"/>
        <w:spacing w:line="500" w:lineRule="exact"/>
        <w:ind w:firstLine="560" w:firstLineChars="200"/>
        <w:rPr>
          <w:rFonts w:ascii="宋体" w:hAnsi="宋体" w:cs="宋体"/>
          <w:color w:val="000000" w:themeColor="text1"/>
          <w:kern w:val="0"/>
          <w:sz w:val="28"/>
          <w:szCs w:val="28"/>
        </w:rPr>
      </w:pPr>
      <w:r>
        <w:rPr>
          <w:rFonts w:hint="eastAsia" w:ascii="宋体" w:hAnsi="宋体" w:cs="宋体"/>
          <w:color w:val="000000" w:themeColor="text1"/>
          <w:kern w:val="0"/>
          <w:sz w:val="28"/>
          <w:szCs w:val="28"/>
        </w:rPr>
        <w:t>评价组于202</w:t>
      </w:r>
      <w:r>
        <w:rPr>
          <w:rFonts w:hint="eastAsia" w:ascii="宋体" w:hAnsi="宋体" w:cs="宋体"/>
          <w:color w:val="000000" w:themeColor="text1"/>
          <w:kern w:val="0"/>
          <w:sz w:val="28"/>
          <w:szCs w:val="28"/>
          <w:lang w:val="en-US" w:eastAsia="zh-CN"/>
        </w:rPr>
        <w:t>5</w:t>
      </w:r>
      <w:r>
        <w:rPr>
          <w:rFonts w:hint="eastAsia" w:ascii="宋体" w:hAnsi="宋体" w:cs="宋体"/>
          <w:color w:val="000000" w:themeColor="text1"/>
          <w:kern w:val="0"/>
          <w:sz w:val="28"/>
          <w:szCs w:val="28"/>
        </w:rPr>
        <w:t>年</w:t>
      </w:r>
      <w:r>
        <w:rPr>
          <w:rFonts w:hint="eastAsia" w:ascii="宋体" w:hAnsi="宋体" w:cs="宋体"/>
          <w:color w:val="000000" w:themeColor="text1"/>
          <w:kern w:val="0"/>
          <w:sz w:val="28"/>
          <w:szCs w:val="28"/>
          <w:lang w:val="en-US" w:eastAsia="zh-CN"/>
        </w:rPr>
        <w:t>5</w:t>
      </w:r>
      <w:r>
        <w:rPr>
          <w:rFonts w:hint="eastAsia" w:ascii="宋体" w:hAnsi="宋体" w:cs="宋体"/>
          <w:color w:val="000000" w:themeColor="text1"/>
          <w:kern w:val="0"/>
          <w:sz w:val="28"/>
          <w:szCs w:val="28"/>
        </w:rPr>
        <w:t>月</w:t>
      </w:r>
      <w:r>
        <w:rPr>
          <w:rFonts w:hint="eastAsia" w:ascii="宋体" w:hAnsi="宋体" w:cs="宋体"/>
          <w:color w:val="000000" w:themeColor="text1"/>
          <w:kern w:val="0"/>
          <w:sz w:val="28"/>
          <w:szCs w:val="28"/>
          <w:lang w:val="en-US" w:eastAsia="zh-CN"/>
        </w:rPr>
        <w:t>23</w:t>
      </w:r>
      <w:r>
        <w:rPr>
          <w:rFonts w:hint="eastAsia" w:ascii="宋体" w:hAnsi="宋体" w:cs="宋体"/>
          <w:color w:val="000000" w:themeColor="text1"/>
          <w:kern w:val="0"/>
          <w:sz w:val="28"/>
          <w:szCs w:val="28"/>
        </w:rPr>
        <w:t>日到项目站址进行现场勘验，评价基准时间以202</w:t>
      </w:r>
      <w:r>
        <w:rPr>
          <w:rFonts w:hint="eastAsia" w:ascii="宋体" w:hAnsi="宋体" w:cs="宋体"/>
          <w:color w:val="000000" w:themeColor="text1"/>
          <w:kern w:val="0"/>
          <w:sz w:val="28"/>
          <w:szCs w:val="28"/>
          <w:lang w:val="en-US" w:eastAsia="zh-CN"/>
        </w:rPr>
        <w:t>5</w:t>
      </w:r>
      <w:r>
        <w:rPr>
          <w:rFonts w:hint="eastAsia" w:ascii="宋体" w:hAnsi="宋体" w:cs="宋体"/>
          <w:color w:val="000000" w:themeColor="text1"/>
          <w:kern w:val="0"/>
          <w:sz w:val="28"/>
          <w:szCs w:val="28"/>
        </w:rPr>
        <w:t>年</w:t>
      </w:r>
      <w:r>
        <w:rPr>
          <w:rFonts w:hint="eastAsia" w:ascii="宋体" w:hAnsi="宋体" w:cs="宋体"/>
          <w:color w:val="000000" w:themeColor="text1"/>
          <w:kern w:val="0"/>
          <w:sz w:val="28"/>
          <w:szCs w:val="28"/>
          <w:lang w:val="en-US" w:eastAsia="zh-CN"/>
        </w:rPr>
        <w:t>5</w:t>
      </w:r>
      <w:r>
        <w:rPr>
          <w:rFonts w:hint="eastAsia" w:ascii="宋体" w:hAnsi="宋体" w:cs="宋体"/>
          <w:color w:val="000000" w:themeColor="text1"/>
          <w:kern w:val="0"/>
          <w:sz w:val="28"/>
          <w:szCs w:val="28"/>
        </w:rPr>
        <w:t>月</w:t>
      </w:r>
      <w:r>
        <w:rPr>
          <w:rFonts w:hint="eastAsia" w:ascii="宋体" w:hAnsi="宋体" w:cs="宋体"/>
          <w:color w:val="000000" w:themeColor="text1"/>
          <w:kern w:val="0"/>
          <w:sz w:val="28"/>
          <w:szCs w:val="28"/>
          <w:lang w:val="en-US" w:eastAsia="zh-CN"/>
        </w:rPr>
        <w:t>23</w:t>
      </w:r>
      <w:r>
        <w:rPr>
          <w:rFonts w:hint="eastAsia" w:ascii="宋体" w:hAnsi="宋体" w:cs="宋体"/>
          <w:color w:val="000000" w:themeColor="text1"/>
          <w:kern w:val="0"/>
          <w:sz w:val="28"/>
          <w:szCs w:val="28"/>
        </w:rPr>
        <w:t>日为准。</w:t>
      </w:r>
    </w:p>
    <w:p>
      <w:pPr>
        <w:pStyle w:val="19"/>
        <w:spacing w:afterLines="100" w:line="500" w:lineRule="exact"/>
        <w:jc w:val="center"/>
        <w:rPr>
          <w:rFonts w:ascii="楷体_GB2312" w:hAnsi="宋体" w:eastAsia="楷体_GB2312"/>
          <w:color w:val="000000" w:themeColor="text1"/>
          <w:kern w:val="3"/>
        </w:rPr>
      </w:pPr>
      <w:bookmarkStart w:id="283" w:name="_Toc191728098"/>
      <w:bookmarkStart w:id="284" w:name="_Toc409442590"/>
      <w:bookmarkStart w:id="285" w:name="_Toc191729658"/>
      <w:bookmarkStart w:id="286" w:name="_Toc6293"/>
      <w:bookmarkStart w:id="287" w:name="_Toc191729976"/>
      <w:bookmarkStart w:id="288" w:name="_Toc452548056"/>
      <w:bookmarkStart w:id="289" w:name="_Toc208398660"/>
      <w:bookmarkStart w:id="290" w:name="_Toc4859"/>
      <w:bookmarkStart w:id="291" w:name="_Toc20898_WPSOffice_Level2"/>
      <w:bookmarkStart w:id="292" w:name="_Toc194389873"/>
      <w:bookmarkStart w:id="293" w:name="_Toc315791210"/>
      <w:r>
        <w:rPr>
          <w:rFonts w:hint="eastAsia" w:ascii="楷体_GB2312" w:hAnsi="宋体" w:eastAsia="楷体_GB2312"/>
          <w:color w:val="000000" w:themeColor="text1"/>
          <w:kern w:val="3"/>
        </w:rPr>
        <w:t>1.7 评价报告使用权声明</w:t>
      </w:r>
      <w:bookmarkEnd w:id="283"/>
      <w:bookmarkEnd w:id="284"/>
      <w:bookmarkEnd w:id="285"/>
      <w:bookmarkEnd w:id="286"/>
      <w:bookmarkEnd w:id="287"/>
      <w:bookmarkEnd w:id="288"/>
      <w:bookmarkEnd w:id="289"/>
      <w:bookmarkEnd w:id="290"/>
      <w:bookmarkEnd w:id="291"/>
      <w:bookmarkEnd w:id="292"/>
      <w:bookmarkEnd w:id="293"/>
    </w:p>
    <w:p>
      <w:pPr>
        <w:adjustRightInd w:val="0"/>
        <w:snapToGrid w:val="0"/>
        <w:spacing w:line="500" w:lineRule="exact"/>
        <w:ind w:firstLine="560" w:firstLineChars="200"/>
        <w:rPr>
          <w:rFonts w:ascii="宋体" w:hAnsi="宋体" w:cs="宋体"/>
          <w:color w:val="000000" w:themeColor="text1"/>
          <w:kern w:val="0"/>
          <w:sz w:val="28"/>
          <w:szCs w:val="28"/>
        </w:rPr>
      </w:pPr>
      <w:r>
        <w:rPr>
          <w:rFonts w:hint="eastAsia" w:ascii="宋体" w:hAnsi="宋体" w:cs="宋体"/>
          <w:color w:val="000000" w:themeColor="text1"/>
          <w:kern w:val="0"/>
          <w:sz w:val="28"/>
          <w:szCs w:val="28"/>
        </w:rPr>
        <w:t>本安全现状评价结论的主要技术支撑依据：被评价单位提供的资料以及本评价机构所采用的评价方法等。当被评价项目的周边环境、总平面布置、安全生产设施和企业管理状况发生变化或超出本评价报告所依据技术支撑或已经超过安全现状评价规定的时限，本评价结论不再成立。当发生这些情况后，建议企业及时委托有资质的安全评价机构重新进行安全评价。</w:t>
      </w:r>
    </w:p>
    <w:p>
      <w:pPr>
        <w:rPr>
          <w:rFonts w:ascii="楷体_GB2312" w:hAnsi="宋体" w:eastAsia="楷体_GB2312"/>
          <w:color w:val="000000" w:themeColor="text1"/>
          <w:kern w:val="3"/>
        </w:rPr>
      </w:pPr>
      <w:bookmarkStart w:id="294" w:name="_Toc4973"/>
      <w:bookmarkStart w:id="295" w:name="_Toc28796"/>
      <w:bookmarkStart w:id="296" w:name="_Toc9917"/>
      <w:bookmarkStart w:id="297" w:name="_Toc28615"/>
      <w:bookmarkStart w:id="298" w:name="_Toc1713"/>
      <w:bookmarkStart w:id="299" w:name="_Toc19352"/>
      <w:bookmarkStart w:id="300" w:name="_Toc11994"/>
      <w:bookmarkStart w:id="301" w:name="_Toc10009"/>
      <w:bookmarkStart w:id="302" w:name="_Toc7225"/>
      <w:bookmarkStart w:id="303" w:name="_Toc4219"/>
      <w:bookmarkStart w:id="304" w:name="_Toc20318"/>
      <w:bookmarkStart w:id="305" w:name="_Toc28945"/>
      <w:bookmarkStart w:id="306" w:name="_Toc23253"/>
      <w:bookmarkStart w:id="307" w:name="_Toc25741"/>
      <w:bookmarkStart w:id="308" w:name="_Toc217444152"/>
      <w:bookmarkStart w:id="309" w:name="_Toc3553"/>
      <w:bookmarkStart w:id="310" w:name="_Toc15434"/>
      <w:r>
        <w:rPr>
          <w:rFonts w:hint="eastAsia" w:ascii="楷体_GB2312" w:hAnsi="宋体" w:eastAsia="楷体_GB2312"/>
          <w:color w:val="000000" w:themeColor="text1"/>
          <w:kern w:val="3"/>
        </w:rPr>
        <w:br w:type="page"/>
      </w:r>
    </w:p>
    <w:p>
      <w:pPr>
        <w:pStyle w:val="19"/>
        <w:spacing w:afterLines="100" w:line="500" w:lineRule="exact"/>
        <w:jc w:val="center"/>
        <w:rPr>
          <w:rFonts w:ascii="楷体_GB2312" w:hAnsi="宋体" w:eastAsia="楷体_GB2312"/>
          <w:color w:val="000000" w:themeColor="text1"/>
          <w:kern w:val="3"/>
        </w:rPr>
      </w:pPr>
      <w:bookmarkStart w:id="311" w:name="_Toc2524_WPSOffice_Level1"/>
      <w:r>
        <w:rPr>
          <w:rFonts w:hint="eastAsia" w:ascii="楷体_GB2312" w:hAnsi="宋体" w:eastAsia="楷体_GB2312"/>
          <w:color w:val="000000" w:themeColor="text1"/>
          <w:kern w:val="3"/>
        </w:rPr>
        <w:t>第2章 评价项目概况</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pStyle w:val="19"/>
        <w:spacing w:afterLines="100" w:line="500" w:lineRule="exact"/>
        <w:jc w:val="center"/>
        <w:rPr>
          <w:rFonts w:ascii="楷体_GB2312" w:hAnsi="宋体" w:eastAsia="楷体_GB2312"/>
          <w:color w:val="000000" w:themeColor="text1"/>
          <w:kern w:val="3"/>
        </w:rPr>
      </w:pPr>
      <w:bookmarkStart w:id="312" w:name="_Toc1890"/>
      <w:bookmarkStart w:id="313" w:name="_Toc20905"/>
      <w:bookmarkStart w:id="314" w:name="_Toc5768"/>
      <w:bookmarkStart w:id="315" w:name="_Toc1759"/>
      <w:bookmarkStart w:id="316" w:name="_Toc17946"/>
      <w:bookmarkStart w:id="317" w:name="_Toc26889"/>
      <w:bookmarkStart w:id="318" w:name="_Toc18575"/>
      <w:bookmarkStart w:id="319" w:name="_Toc2233"/>
      <w:bookmarkStart w:id="320" w:name="_Toc4633"/>
      <w:bookmarkStart w:id="321" w:name="_Toc31898"/>
      <w:bookmarkStart w:id="322" w:name="_Toc31270"/>
      <w:bookmarkStart w:id="323" w:name="_Toc7376"/>
      <w:bookmarkStart w:id="324" w:name="_Toc13789_WPSOffice_Level2"/>
      <w:bookmarkStart w:id="325" w:name="_Toc16412"/>
      <w:bookmarkStart w:id="326" w:name="_Toc10704"/>
      <w:bookmarkStart w:id="327" w:name="_Toc17677"/>
      <w:bookmarkStart w:id="328" w:name="_Toc22922"/>
      <w:bookmarkStart w:id="329" w:name="_Toc217444154"/>
      <w:bookmarkStart w:id="330" w:name="_Toc191728101"/>
      <w:bookmarkStart w:id="331" w:name="_Toc191729661"/>
      <w:bookmarkStart w:id="332" w:name="_Toc191729979"/>
      <w:bookmarkStart w:id="333" w:name="_Toc194389876"/>
      <w:r>
        <w:rPr>
          <w:rFonts w:hint="eastAsia" w:ascii="楷体_GB2312" w:hAnsi="宋体" w:eastAsia="楷体_GB2312"/>
          <w:color w:val="000000" w:themeColor="text1"/>
          <w:kern w:val="3"/>
        </w:rPr>
        <w:t>2.1</w:t>
      </w:r>
      <w:bookmarkEnd w:id="312"/>
      <w:r>
        <w:rPr>
          <w:rFonts w:hint="eastAsia" w:ascii="楷体_GB2312" w:hAnsi="宋体" w:eastAsia="楷体_GB2312"/>
          <w:color w:val="000000" w:themeColor="text1"/>
          <w:kern w:val="3"/>
        </w:rPr>
        <w:t>企业概况</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pPr>
        <w:pStyle w:val="25"/>
        <w:spacing w:line="500" w:lineRule="exact"/>
        <w:ind w:firstLine="560" w:firstLineChars="200"/>
        <w:jc w:val="both"/>
        <w:rPr>
          <w:rFonts w:hint="eastAsia"/>
          <w:color w:val="000000" w:themeColor="text1"/>
          <w:sz w:val="28"/>
          <w:szCs w:val="28"/>
          <w:shd w:val="clear" w:color="auto" w:fill="FFFFFF"/>
        </w:rPr>
      </w:pPr>
      <w:r>
        <w:rPr>
          <w:rFonts w:hint="eastAsia"/>
          <w:snapToGrid w:val="0"/>
          <w:color w:val="000000" w:themeColor="text1"/>
          <w:kern w:val="0"/>
          <w:sz w:val="28"/>
          <w:szCs w:val="28"/>
        </w:rPr>
        <w:t>昭通市耀晨甲醇醇油有限公司</w:t>
      </w:r>
      <w:r>
        <w:rPr>
          <w:color w:val="000000" w:themeColor="text1"/>
          <w:sz w:val="28"/>
          <w:szCs w:val="28"/>
          <w:shd w:val="clear" w:color="auto" w:fill="FFFFFF"/>
        </w:rPr>
        <w:t>成立于</w:t>
      </w:r>
      <w:r>
        <w:rPr>
          <w:rFonts w:hint="eastAsia"/>
          <w:color w:val="000000" w:themeColor="text1"/>
          <w:sz w:val="28"/>
          <w:szCs w:val="28"/>
          <w:shd w:val="clear" w:color="auto" w:fill="FFFFFF"/>
        </w:rPr>
        <w:t>2015年</w:t>
      </w:r>
      <w:r>
        <w:rPr>
          <w:color w:val="000000" w:themeColor="text1"/>
          <w:sz w:val="28"/>
          <w:szCs w:val="28"/>
          <w:shd w:val="clear" w:color="auto" w:fill="FFFFFF"/>
        </w:rPr>
        <w:t>，于</w:t>
      </w:r>
      <w:r>
        <w:rPr>
          <w:rFonts w:hint="eastAsia"/>
          <w:snapToGrid w:val="0"/>
          <w:color w:val="000000" w:themeColor="text1"/>
          <w:kern w:val="0"/>
          <w:sz w:val="28"/>
          <w:szCs w:val="28"/>
        </w:rPr>
        <w:t>2018</w:t>
      </w:r>
      <w:r>
        <w:rPr>
          <w:snapToGrid w:val="0"/>
          <w:color w:val="000000" w:themeColor="text1"/>
          <w:kern w:val="0"/>
          <w:sz w:val="28"/>
          <w:szCs w:val="28"/>
        </w:rPr>
        <w:t>年</w:t>
      </w:r>
      <w:r>
        <w:rPr>
          <w:rFonts w:hint="eastAsia"/>
          <w:snapToGrid w:val="0"/>
          <w:color w:val="000000" w:themeColor="text1"/>
          <w:kern w:val="0"/>
          <w:sz w:val="28"/>
          <w:szCs w:val="28"/>
          <w:lang w:val="en-US" w:eastAsia="zh-CN"/>
        </w:rPr>
        <w:t>3</w:t>
      </w:r>
      <w:r>
        <w:rPr>
          <w:snapToGrid w:val="0"/>
          <w:color w:val="000000" w:themeColor="text1"/>
          <w:kern w:val="0"/>
          <w:sz w:val="28"/>
          <w:szCs w:val="28"/>
        </w:rPr>
        <w:t>月</w:t>
      </w:r>
      <w:r>
        <w:rPr>
          <w:rFonts w:hint="eastAsia"/>
          <w:snapToGrid w:val="0"/>
          <w:color w:val="000000" w:themeColor="text1"/>
          <w:kern w:val="0"/>
          <w:sz w:val="28"/>
          <w:szCs w:val="28"/>
          <w:lang w:val="en-US" w:eastAsia="zh-CN"/>
        </w:rPr>
        <w:t>20</w:t>
      </w:r>
      <w:r>
        <w:rPr>
          <w:snapToGrid w:val="0"/>
          <w:color w:val="000000" w:themeColor="text1"/>
          <w:kern w:val="0"/>
          <w:sz w:val="28"/>
          <w:szCs w:val="28"/>
        </w:rPr>
        <w:t>日</w:t>
      </w:r>
      <w:r>
        <w:rPr>
          <w:color w:val="000000" w:themeColor="text1"/>
          <w:sz w:val="28"/>
          <w:szCs w:val="28"/>
          <w:shd w:val="clear" w:color="auto" w:fill="FFFFFF"/>
        </w:rPr>
        <w:t>经</w:t>
      </w:r>
      <w:r>
        <w:rPr>
          <w:rFonts w:hint="eastAsia"/>
          <w:color w:val="000000" w:themeColor="text1"/>
          <w:sz w:val="28"/>
          <w:szCs w:val="28"/>
          <w:shd w:val="clear" w:color="auto" w:fill="FFFFFF"/>
        </w:rPr>
        <w:t>昭通市昭阳区市场监督管理局</w:t>
      </w:r>
      <w:r>
        <w:rPr>
          <w:color w:val="000000" w:themeColor="text1"/>
          <w:sz w:val="28"/>
          <w:szCs w:val="28"/>
          <w:shd w:val="clear" w:color="auto" w:fill="FFFFFF"/>
        </w:rPr>
        <w:t>换发了《营业执照》，统一社会信用代码：</w:t>
      </w:r>
      <w:r>
        <w:rPr>
          <w:rFonts w:hint="eastAsia"/>
          <w:color w:val="000000" w:themeColor="text1"/>
          <w:sz w:val="28"/>
          <w:szCs w:val="28"/>
          <w:shd w:val="clear" w:color="auto" w:fill="FFFFFF"/>
        </w:rPr>
        <w:t>91530602MA6MYFTN7G</w:t>
      </w:r>
      <w:r>
        <w:rPr>
          <w:color w:val="000000" w:themeColor="text1"/>
          <w:sz w:val="28"/>
          <w:szCs w:val="28"/>
          <w:shd w:val="clear" w:color="auto" w:fill="FFFFFF"/>
        </w:rPr>
        <w:t>，注册资本：</w:t>
      </w:r>
      <w:r>
        <w:rPr>
          <w:rFonts w:hint="eastAsia"/>
          <w:snapToGrid w:val="0"/>
          <w:color w:val="000000" w:themeColor="text1"/>
          <w:kern w:val="0"/>
          <w:sz w:val="28"/>
          <w:szCs w:val="28"/>
        </w:rPr>
        <w:t>伍佰万元</w:t>
      </w:r>
      <w:r>
        <w:rPr>
          <w:color w:val="000000" w:themeColor="text1"/>
          <w:sz w:val="28"/>
          <w:szCs w:val="28"/>
          <w:shd w:val="clear" w:color="auto" w:fill="FFFFFF"/>
        </w:rPr>
        <w:t>整，公司类型为有限责任公司</w:t>
      </w:r>
      <w:r>
        <w:rPr>
          <w:snapToGrid w:val="0"/>
          <w:color w:val="000000" w:themeColor="text1"/>
          <w:kern w:val="0"/>
          <w:sz w:val="28"/>
          <w:szCs w:val="28"/>
        </w:rPr>
        <w:t>有限责任公司（自然人</w:t>
      </w:r>
      <w:r>
        <w:rPr>
          <w:rFonts w:hint="eastAsia"/>
          <w:snapToGrid w:val="0"/>
          <w:color w:val="000000" w:themeColor="text1"/>
          <w:kern w:val="0"/>
          <w:sz w:val="28"/>
          <w:szCs w:val="28"/>
        </w:rPr>
        <w:t>独资</w:t>
      </w:r>
      <w:r>
        <w:rPr>
          <w:snapToGrid w:val="0"/>
          <w:color w:val="000000" w:themeColor="text1"/>
          <w:kern w:val="0"/>
          <w:sz w:val="28"/>
          <w:szCs w:val="28"/>
        </w:rPr>
        <w:t>）</w:t>
      </w:r>
      <w:r>
        <w:rPr>
          <w:color w:val="000000" w:themeColor="text1"/>
          <w:sz w:val="28"/>
          <w:szCs w:val="28"/>
          <w:shd w:val="clear" w:color="auto" w:fill="FFFFFF"/>
        </w:rPr>
        <w:t>，公司法人代表为</w:t>
      </w:r>
      <w:r>
        <w:rPr>
          <w:rFonts w:hint="eastAsia"/>
          <w:color w:val="000000" w:themeColor="text1"/>
          <w:sz w:val="28"/>
          <w:szCs w:val="28"/>
          <w:shd w:val="clear" w:color="auto" w:fill="FFFFFF"/>
        </w:rPr>
        <w:t>杨明书</w:t>
      </w:r>
      <w:r>
        <w:rPr>
          <w:color w:val="000000" w:themeColor="text1"/>
          <w:sz w:val="28"/>
          <w:szCs w:val="28"/>
          <w:shd w:val="clear" w:color="auto" w:fill="FFFFFF"/>
        </w:rPr>
        <w:t>，核准经营的范围为：</w:t>
      </w:r>
      <w:r>
        <w:rPr>
          <w:rFonts w:hint="eastAsia"/>
          <w:snapToGrid w:val="0"/>
          <w:color w:val="000000" w:themeColor="text1"/>
          <w:kern w:val="0"/>
          <w:sz w:val="28"/>
          <w:szCs w:val="28"/>
        </w:rPr>
        <w:t>甲醇、生物醇油批发兼零售</w:t>
      </w:r>
      <w:r>
        <w:rPr>
          <w:color w:val="000000" w:themeColor="text1"/>
          <w:sz w:val="28"/>
          <w:szCs w:val="28"/>
          <w:shd w:val="clear" w:color="auto" w:fill="FFFFFF"/>
        </w:rPr>
        <w:t>。</w:t>
      </w:r>
      <w:r>
        <w:rPr>
          <w:rFonts w:hint="eastAsia"/>
          <w:color w:val="000000" w:themeColor="text1"/>
          <w:sz w:val="28"/>
          <w:szCs w:val="28"/>
          <w:shd w:val="clear" w:color="auto" w:fill="FFFFFF"/>
        </w:rPr>
        <w:t>公司</w:t>
      </w:r>
      <w:r>
        <w:rPr>
          <w:color w:val="000000" w:themeColor="text1"/>
          <w:sz w:val="28"/>
          <w:szCs w:val="28"/>
          <w:shd w:val="clear" w:color="auto" w:fill="FFFFFF"/>
        </w:rPr>
        <w:t>于</w:t>
      </w:r>
      <w:r>
        <w:rPr>
          <w:rFonts w:hint="eastAsia"/>
          <w:color w:val="000000" w:themeColor="text1"/>
          <w:sz w:val="28"/>
          <w:szCs w:val="28"/>
          <w:shd w:val="clear" w:color="auto" w:fill="FFFFFF"/>
          <w:lang w:val="en-US" w:eastAsia="zh-CN"/>
        </w:rPr>
        <w:t>2022</w:t>
      </w:r>
      <w:r>
        <w:rPr>
          <w:color w:val="000000" w:themeColor="text1"/>
          <w:sz w:val="28"/>
          <w:szCs w:val="28"/>
          <w:shd w:val="clear" w:color="auto" w:fill="FFFFFF"/>
        </w:rPr>
        <w:t>年</w:t>
      </w:r>
      <w:r>
        <w:rPr>
          <w:rFonts w:hint="eastAsia"/>
          <w:color w:val="000000" w:themeColor="text1"/>
          <w:sz w:val="28"/>
          <w:szCs w:val="28"/>
          <w:shd w:val="clear" w:color="auto" w:fill="FFFFFF"/>
        </w:rPr>
        <w:t>6</w:t>
      </w:r>
      <w:r>
        <w:rPr>
          <w:color w:val="000000" w:themeColor="text1"/>
          <w:sz w:val="28"/>
          <w:szCs w:val="28"/>
          <w:shd w:val="clear" w:color="auto" w:fill="FFFFFF"/>
        </w:rPr>
        <w:t>月</w:t>
      </w:r>
      <w:r>
        <w:rPr>
          <w:rFonts w:hint="eastAsia"/>
          <w:color w:val="000000" w:themeColor="text1"/>
          <w:sz w:val="28"/>
          <w:szCs w:val="28"/>
          <w:shd w:val="clear" w:color="auto" w:fill="FFFFFF"/>
          <w:lang w:val="en-US" w:eastAsia="zh-CN"/>
        </w:rPr>
        <w:t>1</w:t>
      </w:r>
      <w:r>
        <w:rPr>
          <w:rFonts w:hint="eastAsia"/>
          <w:color w:val="000000" w:themeColor="text1"/>
          <w:sz w:val="28"/>
          <w:szCs w:val="28"/>
          <w:shd w:val="clear" w:color="auto" w:fill="FFFFFF"/>
        </w:rPr>
        <w:t>7</w:t>
      </w:r>
      <w:r>
        <w:rPr>
          <w:color w:val="000000" w:themeColor="text1"/>
          <w:sz w:val="28"/>
          <w:szCs w:val="28"/>
          <w:shd w:val="clear" w:color="auto" w:fill="FFFFFF"/>
        </w:rPr>
        <w:t>日取得危险化学品经营许可证（</w:t>
      </w:r>
      <w:r>
        <w:rPr>
          <w:rFonts w:hint="eastAsia"/>
          <w:color w:val="000000" w:themeColor="text1"/>
          <w:sz w:val="28"/>
          <w:szCs w:val="28"/>
          <w:shd w:val="clear" w:color="auto" w:fill="FFFFFF"/>
        </w:rPr>
        <w:t>昭应经字【20</w:t>
      </w:r>
      <w:r>
        <w:rPr>
          <w:rFonts w:hint="eastAsia"/>
          <w:color w:val="000000" w:themeColor="text1"/>
          <w:sz w:val="28"/>
          <w:szCs w:val="28"/>
          <w:shd w:val="clear" w:color="auto" w:fill="FFFFFF"/>
          <w:lang w:val="en-US" w:eastAsia="zh-CN"/>
        </w:rPr>
        <w:t>22</w:t>
      </w:r>
      <w:r>
        <w:rPr>
          <w:rFonts w:hint="eastAsia"/>
          <w:color w:val="000000" w:themeColor="text1"/>
          <w:sz w:val="28"/>
          <w:szCs w:val="28"/>
          <w:shd w:val="clear" w:color="auto" w:fill="FFFFFF"/>
        </w:rPr>
        <w:t>】04</w:t>
      </w:r>
      <w:r>
        <w:rPr>
          <w:rFonts w:hint="eastAsia"/>
          <w:color w:val="000000" w:themeColor="text1"/>
          <w:sz w:val="28"/>
          <w:szCs w:val="28"/>
          <w:shd w:val="clear" w:color="auto" w:fill="FFFFFF"/>
          <w:lang w:val="en-US" w:eastAsia="zh-CN"/>
        </w:rPr>
        <w:t>9</w:t>
      </w:r>
      <w:r>
        <w:rPr>
          <w:color w:val="000000" w:themeColor="text1"/>
          <w:sz w:val="28"/>
          <w:szCs w:val="28"/>
          <w:shd w:val="clear" w:color="auto" w:fill="FFFFFF"/>
        </w:rPr>
        <w:t>号），有效期至</w:t>
      </w:r>
      <w:r>
        <w:rPr>
          <w:rFonts w:hint="eastAsia"/>
          <w:color w:val="000000" w:themeColor="text1"/>
          <w:sz w:val="28"/>
          <w:szCs w:val="28"/>
          <w:shd w:val="clear" w:color="auto" w:fill="FFFFFF"/>
        </w:rPr>
        <w:t>202</w:t>
      </w:r>
      <w:r>
        <w:rPr>
          <w:rFonts w:hint="eastAsia"/>
          <w:color w:val="000000" w:themeColor="text1"/>
          <w:sz w:val="28"/>
          <w:szCs w:val="28"/>
          <w:shd w:val="clear" w:color="auto" w:fill="FFFFFF"/>
          <w:lang w:val="en-US" w:eastAsia="zh-CN"/>
        </w:rPr>
        <w:t>5</w:t>
      </w:r>
      <w:r>
        <w:rPr>
          <w:color w:val="000000" w:themeColor="text1"/>
          <w:sz w:val="28"/>
          <w:szCs w:val="28"/>
          <w:shd w:val="clear" w:color="auto" w:fill="FFFFFF"/>
        </w:rPr>
        <w:t>年</w:t>
      </w:r>
      <w:r>
        <w:rPr>
          <w:rFonts w:hint="eastAsia"/>
          <w:color w:val="000000" w:themeColor="text1"/>
          <w:sz w:val="28"/>
          <w:szCs w:val="28"/>
          <w:shd w:val="clear" w:color="auto" w:fill="FFFFFF"/>
          <w:lang w:val="en-US" w:eastAsia="zh-CN"/>
        </w:rPr>
        <w:t>6</w:t>
      </w:r>
      <w:r>
        <w:rPr>
          <w:color w:val="000000" w:themeColor="text1"/>
          <w:sz w:val="28"/>
          <w:szCs w:val="28"/>
          <w:shd w:val="clear" w:color="auto" w:fill="FFFFFF"/>
        </w:rPr>
        <w:t>月</w:t>
      </w:r>
      <w:r>
        <w:rPr>
          <w:rFonts w:hint="eastAsia"/>
          <w:color w:val="000000" w:themeColor="text1"/>
          <w:sz w:val="28"/>
          <w:szCs w:val="28"/>
          <w:shd w:val="clear" w:color="auto" w:fill="FFFFFF"/>
          <w:lang w:val="en-US" w:eastAsia="zh-CN"/>
        </w:rPr>
        <w:t>1</w:t>
      </w:r>
      <w:r>
        <w:rPr>
          <w:rFonts w:hint="eastAsia"/>
          <w:color w:val="000000" w:themeColor="text1"/>
          <w:sz w:val="28"/>
          <w:szCs w:val="28"/>
          <w:shd w:val="clear" w:color="auto" w:fill="FFFFFF"/>
        </w:rPr>
        <w:t>6日。</w:t>
      </w:r>
    </w:p>
    <w:p>
      <w:pPr>
        <w:pStyle w:val="25"/>
        <w:spacing w:line="500" w:lineRule="exact"/>
        <w:ind w:firstLine="560" w:firstLineChars="200"/>
        <w:jc w:val="both"/>
        <w:rPr>
          <w:rFonts w:ascii="宋体" w:hAnsi="宋体" w:cs="宋体"/>
          <w:color w:val="000000" w:themeColor="text1"/>
          <w:sz w:val="28"/>
          <w:szCs w:val="28"/>
          <w:shd w:val="clear" w:color="auto" w:fill="FFFFFF"/>
        </w:rPr>
      </w:pPr>
      <w:r>
        <w:rPr>
          <w:rFonts w:hint="eastAsia" w:ascii="宋体" w:hAnsi="宋体" w:cs="宋体"/>
          <w:color w:val="000000" w:themeColor="text1"/>
          <w:sz w:val="28"/>
          <w:szCs w:val="28"/>
          <w:shd w:val="clear" w:color="auto" w:fill="FFFFFF"/>
        </w:rPr>
        <w:t>根据现场调查，企业现经营流程为：向有资质的厂家或经销商采购甲醇，经运输至公司甲醇储罐进行储存，甲醇再经加注机分装成25kg/桶后作为燃料向餐饮单位销售。</w:t>
      </w:r>
    </w:p>
    <w:p>
      <w:pPr>
        <w:ind w:firstLine="562" w:firstLineChars="200"/>
        <w:rPr>
          <w:color w:val="000000" w:themeColor="text1"/>
        </w:rPr>
      </w:pPr>
      <w:r>
        <w:rPr>
          <w:rFonts w:hint="eastAsia" w:ascii="宋体" w:hAnsi="宋体"/>
          <w:b/>
          <w:color w:val="000000" w:themeColor="text1"/>
          <w:sz w:val="28"/>
          <w:szCs w:val="28"/>
        </w:rPr>
        <w:t>营业执照</w:t>
      </w:r>
    </w:p>
    <w:bookmarkEnd w:id="329"/>
    <w:bookmarkEnd w:id="330"/>
    <w:bookmarkEnd w:id="331"/>
    <w:bookmarkEnd w:id="332"/>
    <w:bookmarkEnd w:id="333"/>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名    称：</w:t>
      </w:r>
      <w:r>
        <w:rPr>
          <w:rFonts w:hint="eastAsia"/>
          <w:snapToGrid w:val="0"/>
          <w:color w:val="000000" w:themeColor="text1"/>
          <w:kern w:val="0"/>
          <w:sz w:val="28"/>
          <w:szCs w:val="28"/>
        </w:rPr>
        <w:t>昭通市耀晨甲醇醇油有限公司</w:t>
      </w:r>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住    所：</w:t>
      </w:r>
      <w:r>
        <w:rPr>
          <w:rFonts w:hint="eastAsia"/>
          <w:snapToGrid w:val="0"/>
          <w:color w:val="000000" w:themeColor="text1"/>
          <w:kern w:val="0"/>
          <w:sz w:val="28"/>
          <w:szCs w:val="28"/>
        </w:rPr>
        <w:t>云南省昭通市昭阳区太平办事处桃源社区三社88号</w:t>
      </w:r>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法人代表：</w:t>
      </w:r>
      <w:r>
        <w:rPr>
          <w:rFonts w:hint="eastAsia"/>
          <w:snapToGrid w:val="0"/>
          <w:color w:val="000000" w:themeColor="text1"/>
          <w:kern w:val="0"/>
          <w:sz w:val="28"/>
          <w:szCs w:val="28"/>
        </w:rPr>
        <w:t>杨明书</w:t>
      </w:r>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类型：有限责任公司（自然人</w:t>
      </w:r>
      <w:r>
        <w:rPr>
          <w:rFonts w:hint="eastAsia"/>
          <w:snapToGrid w:val="0"/>
          <w:color w:val="000000" w:themeColor="text1"/>
          <w:kern w:val="0"/>
          <w:sz w:val="28"/>
          <w:szCs w:val="28"/>
        </w:rPr>
        <w:t>独资</w:t>
      </w:r>
      <w:r>
        <w:rPr>
          <w:snapToGrid w:val="0"/>
          <w:color w:val="000000" w:themeColor="text1"/>
          <w:kern w:val="0"/>
          <w:sz w:val="28"/>
          <w:szCs w:val="28"/>
        </w:rPr>
        <w:t>）</w:t>
      </w:r>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注册资本：</w:t>
      </w:r>
      <w:r>
        <w:rPr>
          <w:rFonts w:hint="eastAsia"/>
          <w:snapToGrid w:val="0"/>
          <w:color w:val="000000" w:themeColor="text1"/>
          <w:kern w:val="0"/>
          <w:sz w:val="28"/>
          <w:szCs w:val="28"/>
        </w:rPr>
        <w:t>伍佰万元整</w:t>
      </w:r>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成立时间：</w:t>
      </w:r>
      <w:r>
        <w:rPr>
          <w:rFonts w:hint="eastAsia"/>
          <w:snapToGrid w:val="0"/>
          <w:color w:val="000000" w:themeColor="text1"/>
          <w:kern w:val="0"/>
          <w:sz w:val="28"/>
          <w:szCs w:val="28"/>
        </w:rPr>
        <w:t>2018</w:t>
      </w:r>
      <w:r>
        <w:rPr>
          <w:snapToGrid w:val="0"/>
          <w:color w:val="000000" w:themeColor="text1"/>
          <w:kern w:val="0"/>
          <w:sz w:val="28"/>
          <w:szCs w:val="28"/>
        </w:rPr>
        <w:t>年</w:t>
      </w:r>
      <w:r>
        <w:rPr>
          <w:rFonts w:hint="eastAsia"/>
          <w:snapToGrid w:val="0"/>
          <w:color w:val="000000" w:themeColor="text1"/>
          <w:kern w:val="0"/>
          <w:sz w:val="28"/>
          <w:szCs w:val="28"/>
        </w:rPr>
        <w:t>01</w:t>
      </w:r>
      <w:r>
        <w:rPr>
          <w:snapToGrid w:val="0"/>
          <w:color w:val="000000" w:themeColor="text1"/>
          <w:kern w:val="0"/>
          <w:sz w:val="28"/>
          <w:szCs w:val="28"/>
        </w:rPr>
        <w:t>月</w:t>
      </w:r>
      <w:r>
        <w:rPr>
          <w:rFonts w:hint="eastAsia"/>
          <w:snapToGrid w:val="0"/>
          <w:color w:val="000000" w:themeColor="text1"/>
          <w:kern w:val="0"/>
          <w:sz w:val="28"/>
          <w:szCs w:val="28"/>
        </w:rPr>
        <w:t>01</w:t>
      </w:r>
      <w:r>
        <w:rPr>
          <w:snapToGrid w:val="0"/>
          <w:color w:val="000000" w:themeColor="text1"/>
          <w:kern w:val="0"/>
          <w:sz w:val="28"/>
          <w:szCs w:val="28"/>
        </w:rPr>
        <w:t>日</w:t>
      </w:r>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营业期限：201</w:t>
      </w:r>
      <w:r>
        <w:rPr>
          <w:rFonts w:hint="eastAsia"/>
          <w:snapToGrid w:val="0"/>
          <w:color w:val="000000" w:themeColor="text1"/>
          <w:kern w:val="0"/>
          <w:sz w:val="28"/>
          <w:szCs w:val="28"/>
        </w:rPr>
        <w:t>8</w:t>
      </w:r>
      <w:r>
        <w:rPr>
          <w:snapToGrid w:val="0"/>
          <w:color w:val="000000" w:themeColor="text1"/>
          <w:kern w:val="0"/>
          <w:sz w:val="28"/>
          <w:szCs w:val="28"/>
        </w:rPr>
        <w:t>年</w:t>
      </w:r>
      <w:r>
        <w:rPr>
          <w:rFonts w:hint="eastAsia"/>
          <w:snapToGrid w:val="0"/>
          <w:color w:val="000000" w:themeColor="text1"/>
          <w:kern w:val="0"/>
          <w:sz w:val="28"/>
          <w:szCs w:val="28"/>
        </w:rPr>
        <w:t>01</w:t>
      </w:r>
      <w:r>
        <w:rPr>
          <w:snapToGrid w:val="0"/>
          <w:color w:val="000000" w:themeColor="text1"/>
          <w:kern w:val="0"/>
          <w:sz w:val="28"/>
          <w:szCs w:val="28"/>
        </w:rPr>
        <w:t>月</w:t>
      </w:r>
      <w:r>
        <w:rPr>
          <w:rFonts w:hint="eastAsia"/>
          <w:snapToGrid w:val="0"/>
          <w:color w:val="000000" w:themeColor="text1"/>
          <w:kern w:val="0"/>
          <w:sz w:val="28"/>
          <w:szCs w:val="28"/>
        </w:rPr>
        <w:t>01</w:t>
      </w:r>
      <w:r>
        <w:rPr>
          <w:snapToGrid w:val="0"/>
          <w:color w:val="000000" w:themeColor="text1"/>
          <w:kern w:val="0"/>
          <w:sz w:val="28"/>
          <w:szCs w:val="28"/>
        </w:rPr>
        <w:t>日至20</w:t>
      </w:r>
      <w:r>
        <w:rPr>
          <w:rFonts w:hint="eastAsia"/>
          <w:snapToGrid w:val="0"/>
          <w:color w:val="000000" w:themeColor="text1"/>
          <w:kern w:val="0"/>
          <w:sz w:val="28"/>
          <w:szCs w:val="28"/>
        </w:rPr>
        <w:t>47</w:t>
      </w:r>
      <w:r>
        <w:rPr>
          <w:snapToGrid w:val="0"/>
          <w:color w:val="000000" w:themeColor="text1"/>
          <w:kern w:val="0"/>
          <w:sz w:val="28"/>
          <w:szCs w:val="28"/>
        </w:rPr>
        <w:t>年</w:t>
      </w:r>
      <w:r>
        <w:rPr>
          <w:rFonts w:hint="eastAsia"/>
          <w:snapToGrid w:val="0"/>
          <w:color w:val="000000" w:themeColor="text1"/>
          <w:kern w:val="0"/>
          <w:sz w:val="28"/>
          <w:szCs w:val="28"/>
        </w:rPr>
        <w:t>12</w:t>
      </w:r>
      <w:r>
        <w:rPr>
          <w:snapToGrid w:val="0"/>
          <w:color w:val="000000" w:themeColor="text1"/>
          <w:kern w:val="0"/>
          <w:sz w:val="28"/>
          <w:szCs w:val="28"/>
        </w:rPr>
        <w:t>月</w:t>
      </w:r>
      <w:r>
        <w:rPr>
          <w:rFonts w:hint="eastAsia"/>
          <w:snapToGrid w:val="0"/>
          <w:color w:val="000000" w:themeColor="text1"/>
          <w:kern w:val="0"/>
          <w:sz w:val="28"/>
          <w:szCs w:val="28"/>
        </w:rPr>
        <w:t>31</w:t>
      </w:r>
      <w:r>
        <w:rPr>
          <w:snapToGrid w:val="0"/>
          <w:color w:val="000000" w:themeColor="text1"/>
          <w:kern w:val="0"/>
          <w:sz w:val="28"/>
          <w:szCs w:val="28"/>
        </w:rPr>
        <w:t>日</w:t>
      </w:r>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经营范围：</w:t>
      </w:r>
      <w:r>
        <w:rPr>
          <w:rFonts w:hint="eastAsia"/>
          <w:snapToGrid w:val="0"/>
          <w:color w:val="000000" w:themeColor="text1"/>
          <w:kern w:val="0"/>
          <w:sz w:val="28"/>
          <w:szCs w:val="28"/>
        </w:rPr>
        <w:t>甲醇、生物醇油批发兼零售</w:t>
      </w:r>
      <w:r>
        <w:rPr>
          <w:snapToGrid w:val="0"/>
          <w:color w:val="000000" w:themeColor="text1"/>
          <w:kern w:val="0"/>
          <w:sz w:val="28"/>
          <w:szCs w:val="28"/>
        </w:rPr>
        <w:t>。（依法须经批准的项目，经相关部门批准后方可开展经营活动）。</w:t>
      </w:r>
    </w:p>
    <w:p>
      <w:pPr>
        <w:spacing w:line="500" w:lineRule="exact"/>
        <w:ind w:firstLine="562" w:firstLineChars="200"/>
        <w:rPr>
          <w:rFonts w:ascii="宋体" w:hAnsi="宋体"/>
          <w:b/>
          <w:color w:val="000000" w:themeColor="text1"/>
          <w:sz w:val="28"/>
          <w:szCs w:val="28"/>
        </w:rPr>
      </w:pPr>
      <w:r>
        <w:rPr>
          <w:rFonts w:hint="eastAsia" w:ascii="宋体" w:hAnsi="宋体"/>
          <w:b/>
          <w:color w:val="000000" w:themeColor="text1"/>
          <w:sz w:val="28"/>
          <w:szCs w:val="28"/>
        </w:rPr>
        <w:t>危险化学品经营许可证</w:t>
      </w:r>
    </w:p>
    <w:p>
      <w:pPr>
        <w:spacing w:line="5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证号：昭安经字【20</w:t>
      </w:r>
      <w:r>
        <w:rPr>
          <w:rFonts w:hint="eastAsia" w:ascii="宋体" w:hAnsi="宋体"/>
          <w:color w:val="000000" w:themeColor="text1"/>
          <w:sz w:val="28"/>
          <w:szCs w:val="28"/>
          <w:lang w:val="en-US" w:eastAsia="zh-CN"/>
        </w:rPr>
        <w:t>22</w:t>
      </w:r>
      <w:r>
        <w:rPr>
          <w:rFonts w:hint="eastAsia" w:ascii="宋体" w:hAnsi="宋体"/>
          <w:color w:val="000000" w:themeColor="text1"/>
          <w:sz w:val="28"/>
          <w:szCs w:val="28"/>
        </w:rPr>
        <w:t>】04</w:t>
      </w:r>
      <w:r>
        <w:rPr>
          <w:rFonts w:hint="eastAsia" w:ascii="宋体" w:hAnsi="宋体"/>
          <w:color w:val="000000" w:themeColor="text1"/>
          <w:sz w:val="28"/>
          <w:szCs w:val="28"/>
          <w:lang w:val="en-US" w:eastAsia="zh-CN"/>
        </w:rPr>
        <w:t>9</w:t>
      </w:r>
      <w:r>
        <w:rPr>
          <w:rFonts w:hint="eastAsia" w:ascii="宋体" w:hAnsi="宋体"/>
          <w:color w:val="000000" w:themeColor="text1"/>
          <w:sz w:val="28"/>
          <w:szCs w:val="28"/>
        </w:rPr>
        <w:t>号</w:t>
      </w:r>
    </w:p>
    <w:p>
      <w:pPr>
        <w:spacing w:line="5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企业名称：</w:t>
      </w:r>
      <w:r>
        <w:rPr>
          <w:rFonts w:hint="eastAsia"/>
          <w:snapToGrid w:val="0"/>
          <w:color w:val="000000" w:themeColor="text1"/>
          <w:kern w:val="0"/>
          <w:sz w:val="28"/>
          <w:szCs w:val="28"/>
        </w:rPr>
        <w:t>昭通市耀晨甲醇醇油有限公司</w:t>
      </w:r>
    </w:p>
    <w:p>
      <w:pPr>
        <w:spacing w:line="5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企业法定代表人：</w:t>
      </w:r>
      <w:r>
        <w:rPr>
          <w:rFonts w:hint="eastAsia"/>
          <w:snapToGrid w:val="0"/>
          <w:color w:val="000000" w:themeColor="text1"/>
          <w:kern w:val="0"/>
          <w:sz w:val="28"/>
          <w:szCs w:val="28"/>
        </w:rPr>
        <w:t>杨明书</w:t>
      </w:r>
    </w:p>
    <w:p>
      <w:pPr>
        <w:spacing w:line="5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经营方式：批发、零售</w:t>
      </w:r>
    </w:p>
    <w:p>
      <w:pPr>
        <w:spacing w:line="5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许可范围：甲醇</w:t>
      </w:r>
    </w:p>
    <w:p>
      <w:pPr>
        <w:spacing w:line="500" w:lineRule="exact"/>
        <w:ind w:firstLine="560" w:firstLineChars="200"/>
        <w:rPr>
          <w:snapToGrid w:val="0"/>
          <w:color w:val="000000" w:themeColor="text1"/>
          <w:kern w:val="20"/>
          <w:sz w:val="28"/>
        </w:rPr>
      </w:pPr>
      <w:r>
        <w:rPr>
          <w:rFonts w:hint="eastAsia" w:ascii="宋体" w:hAnsi="宋体"/>
          <w:color w:val="000000" w:themeColor="text1"/>
          <w:sz w:val="28"/>
          <w:szCs w:val="28"/>
        </w:rPr>
        <w:t>有效期：</w:t>
      </w:r>
      <w:r>
        <w:rPr>
          <w:rFonts w:hint="eastAsia" w:ascii="宋体" w:hAnsi="宋体"/>
          <w:color w:val="000000" w:themeColor="text1"/>
          <w:sz w:val="28"/>
        </w:rPr>
        <w:t>20</w:t>
      </w:r>
      <w:r>
        <w:rPr>
          <w:rFonts w:hint="eastAsia" w:ascii="宋体" w:hAnsi="宋体"/>
          <w:color w:val="000000" w:themeColor="text1"/>
          <w:sz w:val="28"/>
          <w:lang w:val="en-US" w:eastAsia="zh-CN"/>
        </w:rPr>
        <w:t>22</w:t>
      </w:r>
      <w:r>
        <w:rPr>
          <w:rFonts w:hint="eastAsia" w:ascii="宋体" w:hAnsi="宋体"/>
          <w:color w:val="000000" w:themeColor="text1"/>
          <w:sz w:val="28"/>
        </w:rPr>
        <w:t>年6月</w:t>
      </w:r>
      <w:r>
        <w:rPr>
          <w:rFonts w:hint="eastAsia" w:ascii="宋体" w:hAnsi="宋体"/>
          <w:color w:val="000000" w:themeColor="text1"/>
          <w:sz w:val="28"/>
          <w:lang w:val="en-US" w:eastAsia="zh-CN"/>
        </w:rPr>
        <w:t>1</w:t>
      </w:r>
      <w:r>
        <w:rPr>
          <w:rFonts w:hint="eastAsia" w:ascii="宋体" w:hAnsi="宋体"/>
          <w:color w:val="000000" w:themeColor="text1"/>
          <w:sz w:val="28"/>
        </w:rPr>
        <w:t>7日</w:t>
      </w:r>
      <w:r>
        <w:rPr>
          <w:rFonts w:hint="eastAsia"/>
          <w:snapToGrid w:val="0"/>
          <w:color w:val="000000" w:themeColor="text1"/>
          <w:kern w:val="20"/>
          <w:sz w:val="28"/>
        </w:rPr>
        <w:t>至</w:t>
      </w:r>
      <w:r>
        <w:rPr>
          <w:rFonts w:hint="eastAsia" w:ascii="宋体" w:hAnsi="宋体"/>
          <w:color w:val="000000" w:themeColor="text1"/>
          <w:sz w:val="28"/>
        </w:rPr>
        <w:t>202</w:t>
      </w:r>
      <w:r>
        <w:rPr>
          <w:rFonts w:hint="eastAsia" w:ascii="宋体" w:hAnsi="宋体"/>
          <w:color w:val="000000" w:themeColor="text1"/>
          <w:sz w:val="28"/>
          <w:lang w:val="en-US" w:eastAsia="zh-CN"/>
        </w:rPr>
        <w:t>5</w:t>
      </w:r>
      <w:r>
        <w:rPr>
          <w:rFonts w:hint="eastAsia" w:ascii="宋体" w:hAnsi="宋体"/>
          <w:color w:val="000000" w:themeColor="text1"/>
          <w:sz w:val="28"/>
        </w:rPr>
        <w:t>年6月</w:t>
      </w:r>
      <w:r>
        <w:rPr>
          <w:rFonts w:hint="eastAsia" w:ascii="宋体" w:hAnsi="宋体"/>
          <w:color w:val="000000" w:themeColor="text1"/>
          <w:sz w:val="28"/>
          <w:lang w:val="en-US" w:eastAsia="zh-CN"/>
        </w:rPr>
        <w:t>1</w:t>
      </w:r>
      <w:r>
        <w:rPr>
          <w:rFonts w:hint="eastAsia" w:ascii="宋体" w:hAnsi="宋体"/>
          <w:color w:val="000000" w:themeColor="text1"/>
          <w:sz w:val="28"/>
        </w:rPr>
        <w:t>6日</w:t>
      </w:r>
    </w:p>
    <w:p>
      <w:pPr>
        <w:pStyle w:val="19"/>
        <w:spacing w:afterLines="100" w:line="500" w:lineRule="exact"/>
        <w:jc w:val="center"/>
        <w:rPr>
          <w:rFonts w:ascii="楷体_GB2312" w:hAnsi="宋体" w:eastAsia="楷体_GB2312"/>
          <w:color w:val="000000" w:themeColor="text1"/>
          <w:kern w:val="3"/>
        </w:rPr>
      </w:pPr>
      <w:bookmarkStart w:id="334" w:name="_Toc25761"/>
      <w:bookmarkStart w:id="335" w:name="_Toc4644"/>
      <w:bookmarkStart w:id="336" w:name="_Toc14603_WPSOffice_Level2"/>
      <w:bookmarkStart w:id="337" w:name="_Toc30098"/>
      <w:bookmarkStart w:id="338" w:name="_Toc1617"/>
      <w:bookmarkStart w:id="339" w:name="_Toc13225"/>
      <w:bookmarkStart w:id="340" w:name="_Toc5315"/>
      <w:bookmarkStart w:id="341" w:name="_Toc10487"/>
      <w:bookmarkStart w:id="342" w:name="_Toc12916"/>
      <w:bookmarkStart w:id="343" w:name="_Toc14618"/>
      <w:bookmarkStart w:id="344" w:name="_Toc13106"/>
      <w:bookmarkStart w:id="345" w:name="_Toc27076"/>
      <w:bookmarkStart w:id="346" w:name="_Toc3249"/>
      <w:bookmarkStart w:id="347" w:name="_Toc28350"/>
      <w:bookmarkStart w:id="348" w:name="_Toc21050"/>
      <w:bookmarkStart w:id="349" w:name="_Toc28381"/>
      <w:r>
        <w:rPr>
          <w:rFonts w:hint="eastAsia" w:ascii="楷体_GB2312" w:hAnsi="宋体" w:eastAsia="楷体_GB2312"/>
          <w:color w:val="000000" w:themeColor="text1"/>
          <w:kern w:val="3"/>
        </w:rPr>
        <w:t>2.2项目概况</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pStyle w:val="19"/>
        <w:spacing w:afterLines="100" w:line="500" w:lineRule="exact"/>
        <w:rPr>
          <w:rFonts w:ascii="黑体" w:hAnsi="宋体" w:eastAsia="黑体"/>
          <w:color w:val="000000" w:themeColor="text1"/>
          <w:kern w:val="3"/>
          <w:sz w:val="28"/>
          <w:szCs w:val="28"/>
        </w:rPr>
      </w:pPr>
      <w:bookmarkStart w:id="350" w:name="_Toc26325"/>
      <w:bookmarkStart w:id="351" w:name="_Toc3308"/>
      <w:bookmarkStart w:id="352" w:name="_Toc31965"/>
      <w:bookmarkStart w:id="353" w:name="_Toc21459"/>
      <w:bookmarkStart w:id="354" w:name="_Toc17008"/>
      <w:bookmarkStart w:id="355" w:name="_Toc7325"/>
      <w:bookmarkStart w:id="356" w:name="_Toc240"/>
      <w:bookmarkStart w:id="357" w:name="_Toc11333"/>
      <w:bookmarkStart w:id="358" w:name="_Toc25906"/>
      <w:bookmarkStart w:id="359" w:name="_Toc69312227"/>
      <w:bookmarkStart w:id="360" w:name="_Toc1442"/>
      <w:r>
        <w:rPr>
          <w:rFonts w:hint="eastAsia" w:ascii="黑体" w:hAnsi="宋体" w:eastAsia="黑体"/>
          <w:color w:val="000000" w:themeColor="text1"/>
          <w:kern w:val="3"/>
          <w:sz w:val="28"/>
          <w:szCs w:val="28"/>
        </w:rPr>
        <w:t>2.2.1项目简介</w:t>
      </w:r>
      <w:bookmarkEnd w:id="350"/>
      <w:bookmarkEnd w:id="351"/>
      <w:bookmarkEnd w:id="352"/>
      <w:bookmarkEnd w:id="353"/>
      <w:bookmarkEnd w:id="354"/>
      <w:bookmarkEnd w:id="355"/>
      <w:bookmarkEnd w:id="356"/>
      <w:bookmarkEnd w:id="357"/>
      <w:bookmarkEnd w:id="358"/>
      <w:bookmarkEnd w:id="359"/>
      <w:bookmarkEnd w:id="360"/>
    </w:p>
    <w:p>
      <w:pPr>
        <w:pStyle w:val="25"/>
        <w:spacing w:line="500" w:lineRule="exact"/>
        <w:ind w:firstLine="560" w:firstLineChars="200"/>
        <w:jc w:val="both"/>
        <w:rPr>
          <w:rFonts w:ascii="宋体" w:hAnsi="宋体" w:cs="宋体"/>
          <w:color w:val="000000" w:themeColor="text1"/>
          <w:sz w:val="28"/>
          <w:szCs w:val="28"/>
          <w:shd w:val="clear" w:color="auto" w:fill="FFFFFF"/>
        </w:rPr>
      </w:pPr>
      <w:bookmarkStart w:id="361" w:name="_Toc194389877"/>
      <w:bookmarkStart w:id="362" w:name="_Toc24108"/>
      <w:bookmarkStart w:id="363" w:name="_Toc191728102"/>
      <w:bookmarkStart w:id="364" w:name="_Toc217444155"/>
      <w:bookmarkStart w:id="365" w:name="_Toc191729662"/>
      <w:bookmarkStart w:id="366" w:name="_Toc191729980"/>
      <w:r>
        <w:rPr>
          <w:rFonts w:hint="eastAsia" w:ascii="宋体" w:hAnsi="宋体" w:cs="仿宋"/>
          <w:color w:val="000000" w:themeColor="text1"/>
          <w:sz w:val="28"/>
        </w:rPr>
        <w:t>昭通市耀晨甲醇醇油有限公司占地为900㎡，总建筑面积为361.95㎡（其中加注区占地面积83.2㎡，储罐区占地面积78.75㎡，其他利用区域200㎡（含配电、值班室及办公室等））。公司甲醇储罐区现有50m³甲醇埋地储罐1个、30m³甲醇埋地储罐1个，两个甲醇储罐采用卧式埋地储罐，储罐区周围设置高于地面0.5m的围堰，罐体周围填充中性沙或细土，罐顶的覆土厚度为0.5m，并在埋地储罐人口处设置操作井</w:t>
      </w:r>
      <w:r>
        <w:rPr>
          <w:rFonts w:hint="eastAsia" w:ascii="宋体" w:hAnsi="宋体" w:cs="仿宋"/>
          <w:color w:val="000000" w:themeColor="text1"/>
          <w:sz w:val="28"/>
          <w:lang w:eastAsia="zh-CN"/>
        </w:rPr>
        <w:t>。</w:t>
      </w:r>
      <w:r>
        <w:rPr>
          <w:rFonts w:hint="eastAsia" w:ascii="宋体" w:hAnsi="宋体" w:cs="仿宋"/>
          <w:color w:val="000000" w:themeColor="text1"/>
          <w:sz w:val="28"/>
        </w:rPr>
        <w:t>储罐按要求设置通气管，通气管高出罐顶3m，其管口安装有阻火器。储罐区北、东及东南面三面面设置有2.0m高的围墙，</w:t>
      </w:r>
      <w:r>
        <w:rPr>
          <w:rFonts w:hint="eastAsia" w:ascii="宋体" w:hAnsi="宋体" w:cs="仿宋"/>
          <w:color w:val="000000" w:themeColor="text1"/>
          <w:sz w:val="28"/>
          <w:lang w:val="en-US" w:eastAsia="zh-CN"/>
        </w:rPr>
        <w:t>西</w:t>
      </w:r>
      <w:r>
        <w:rPr>
          <w:rFonts w:hint="eastAsia" w:ascii="宋体" w:hAnsi="宋体" w:cs="仿宋"/>
          <w:color w:val="000000" w:themeColor="text1"/>
          <w:sz w:val="28"/>
        </w:rPr>
        <w:t>北面为一开放式堆物场地且有一进出储罐区2.0m高大门（目前大门为</w:t>
      </w:r>
      <w:r>
        <w:rPr>
          <w:rFonts w:hint="eastAsia" w:ascii="宋体" w:hAnsi="宋体" w:cs="仿宋"/>
          <w:color w:val="000000" w:themeColor="text1"/>
          <w:sz w:val="28"/>
          <w:lang w:val="en-US" w:eastAsia="zh-CN"/>
        </w:rPr>
        <w:t>关闭</w:t>
      </w:r>
      <w:r>
        <w:rPr>
          <w:rFonts w:hint="eastAsia" w:ascii="宋体" w:hAnsi="宋体" w:cs="仿宋"/>
          <w:color w:val="000000" w:themeColor="text1"/>
          <w:sz w:val="28"/>
        </w:rPr>
        <w:t>不再使用状态），西南面围墙下部为2.0m高砖混实体围墙且有一连通加注区域的大门，上部为1.0m高彩钢围墙，</w:t>
      </w:r>
    </w:p>
    <w:p>
      <w:pPr>
        <w:pStyle w:val="19"/>
        <w:spacing w:afterLines="100" w:line="500" w:lineRule="exact"/>
        <w:rPr>
          <w:rFonts w:ascii="黑体" w:hAnsi="宋体" w:eastAsia="黑体"/>
          <w:color w:val="000000" w:themeColor="text1"/>
          <w:kern w:val="3"/>
          <w:sz w:val="28"/>
          <w:szCs w:val="28"/>
        </w:rPr>
      </w:pPr>
      <w:bookmarkStart w:id="367" w:name="_Toc27513"/>
      <w:bookmarkStart w:id="368" w:name="_Toc536"/>
      <w:bookmarkStart w:id="369" w:name="_Toc23616"/>
      <w:bookmarkStart w:id="370" w:name="_Toc7910"/>
      <w:bookmarkStart w:id="371" w:name="_Toc11470"/>
      <w:bookmarkStart w:id="372" w:name="_Toc13262"/>
      <w:bookmarkStart w:id="373" w:name="_Toc2400"/>
      <w:bookmarkStart w:id="374" w:name="_Toc26173"/>
      <w:bookmarkStart w:id="375" w:name="_Toc19458"/>
      <w:bookmarkStart w:id="376" w:name="_Toc11862"/>
      <w:r>
        <w:rPr>
          <w:rFonts w:hint="eastAsia" w:ascii="黑体" w:hAnsi="宋体" w:eastAsia="黑体"/>
          <w:color w:val="000000" w:themeColor="text1"/>
          <w:kern w:val="3"/>
          <w:sz w:val="28"/>
          <w:szCs w:val="28"/>
        </w:rPr>
        <w:t>2.2.2地理位置、交通条件</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Pr>
          <w:rFonts w:hint="eastAsia" w:ascii="黑体" w:hAnsi="宋体" w:eastAsia="黑体"/>
          <w:color w:val="000000" w:themeColor="text1"/>
          <w:kern w:val="3"/>
          <w:sz w:val="28"/>
          <w:szCs w:val="28"/>
        </w:rPr>
        <w:t>及周边环境情况</w:t>
      </w:r>
    </w:p>
    <w:p>
      <w:pPr>
        <w:spacing w:line="5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1.地理位置、交通条件</w:t>
      </w:r>
    </w:p>
    <w:p>
      <w:pPr>
        <w:spacing w:line="500" w:lineRule="exact"/>
        <w:ind w:firstLine="560" w:firstLineChars="200"/>
        <w:rPr>
          <w:color w:val="000000" w:themeColor="text1"/>
          <w:sz w:val="28"/>
          <w:szCs w:val="28"/>
          <w:shd w:val="clear" w:color="auto" w:fill="FFFFFF"/>
        </w:rPr>
      </w:pPr>
      <w:r>
        <w:rPr>
          <w:rFonts w:hint="eastAsia" w:ascii="宋体" w:hAnsi="宋体"/>
          <w:color w:val="000000" w:themeColor="text1"/>
          <w:sz w:val="28"/>
          <w:szCs w:val="28"/>
        </w:rPr>
        <w:t>昭通市耀晨甲醇醇油有限公司位于</w:t>
      </w:r>
      <w:r>
        <w:rPr>
          <w:rFonts w:hint="eastAsia" w:ascii="宋体" w:hAnsi="宋体" w:cs="仿宋"/>
          <w:color w:val="000000" w:themeColor="text1"/>
          <w:sz w:val="28"/>
        </w:rPr>
        <w:t>昭通市昭阳区太平办事处桃园社区三社88号内</w:t>
      </w:r>
      <w:r>
        <w:rPr>
          <w:rFonts w:hint="eastAsia" w:ascii="宋体" w:hAnsi="宋体"/>
          <w:color w:val="000000" w:themeColor="text1"/>
          <w:sz w:val="28"/>
          <w:szCs w:val="28"/>
        </w:rPr>
        <w:t>，公司位于昭阳区城郊，交通较为方便</w:t>
      </w:r>
      <w:r>
        <w:rPr>
          <w:color w:val="000000" w:themeColor="text1"/>
          <w:sz w:val="28"/>
          <w:szCs w:val="28"/>
          <w:shd w:val="clear" w:color="auto" w:fill="FFFFFF"/>
        </w:rPr>
        <w:t>。</w:t>
      </w:r>
    </w:p>
    <w:p>
      <w:pPr>
        <w:spacing w:line="500" w:lineRule="exact"/>
        <w:ind w:firstLine="560" w:firstLineChars="200"/>
        <w:rPr>
          <w:color w:val="000000" w:themeColor="text1"/>
          <w:sz w:val="28"/>
          <w:szCs w:val="28"/>
          <w:shd w:val="clear" w:color="auto" w:fill="FFFFFF"/>
        </w:rPr>
      </w:pPr>
      <w:r>
        <w:rPr>
          <w:color w:val="000000" w:themeColor="text1"/>
          <w:sz w:val="28"/>
          <w:szCs w:val="28"/>
          <w:shd w:val="clear" w:color="auto" w:fill="FFFFFF"/>
        </w:rPr>
        <w:t>该项目所在地地理位置及交通图如下图所示。</w:t>
      </w:r>
    </w:p>
    <w:p>
      <w:pPr>
        <w:jc w:val="center"/>
        <w:rPr>
          <w:rFonts w:ascii="宋体" w:hAnsi="宋体" w:cs="仿宋"/>
          <w:color w:val="000000" w:themeColor="text1"/>
          <w:sz w:val="28"/>
          <w:szCs w:val="28"/>
        </w:rPr>
      </w:pPr>
      <w:r>
        <w:rPr>
          <w:rFonts w:hint="eastAsia"/>
          <w:color w:val="000000" w:themeColor="text1"/>
          <w:sz w:val="28"/>
          <w:lang w:val="en-US" w:eastAsia="zh-CN"/>
        </w:rPr>
        <w:t xml:space="preserve"> </w:t>
      </w:r>
      <w:r>
        <w:rPr>
          <w:color w:val="000000" w:themeColor="text1"/>
          <w:sz w:val="28"/>
        </w:rPr>
        <w:pict>
          <v:shape id="_x0000_s1026" o:spid="_x0000_s1026" o:spt="61" type="#_x0000_t61" style="position:absolute;left:0pt;margin-left:154.1pt;margin-top:171pt;height:30.7pt;width:68.85pt;z-index:251660288;mso-width-relative:page;mso-height-relative:page;" coordsize="21600,21600" o:gfxdata="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8G8F92AAA&#10;AAsBAAAPAAAAAAAAAAEAIAAAACIAAABkcnMvZG93bnJldi54bWxQSwECFAAUAAAACACHTuJAOXZb&#10;MB4CAAA+BAAADgAAAAAAAAABACAAAAAnAQAAZHJzL2Uyb0RvYy54bWxQSwUGAAAAAAYABgBZAQAA&#10;twUAAAAA&#10;">
            <v:path/>
            <v:fill focussize="0,0"/>
            <v:stroke joinstyle="miter"/>
            <v:imagedata o:title=""/>
            <o:lock v:ext="edit"/>
            <v:textbox>
              <w:txbxContent>
                <w:p>
                  <w:r>
                    <w:rPr>
                      <w:rFonts w:hint="eastAsia" w:ascii="宋体" w:hAnsi="宋体"/>
                      <w:color w:val="000000"/>
                      <w:sz w:val="24"/>
                    </w:rPr>
                    <w:t>昭通耀晨</w:t>
                  </w:r>
                </w:p>
              </w:txbxContent>
            </v:textbox>
          </v:shape>
        </w:pict>
      </w:r>
      <w:r>
        <w:rPr>
          <w:color w:val="000000" w:themeColor="text1"/>
          <w:sz w:val="28"/>
        </w:rPr>
        <w:drawing>
          <wp:inline distT="0" distB="0" distL="114300" distR="114300">
            <wp:extent cx="5830570" cy="4228465"/>
            <wp:effectExtent l="0" t="0" r="17780" b="635"/>
            <wp:docPr id="1" name="图片 1" descr="1653982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3982646(1)"/>
                    <pic:cNvPicPr>
                      <a:picLocks noChangeAspect="1"/>
                    </pic:cNvPicPr>
                  </pic:nvPicPr>
                  <pic:blipFill>
                    <a:blip r:embed="rId10"/>
                    <a:stretch>
                      <a:fillRect/>
                    </a:stretch>
                  </pic:blipFill>
                  <pic:spPr>
                    <a:xfrm>
                      <a:off x="0" y="0"/>
                      <a:ext cx="5830570" cy="4228465"/>
                    </a:xfrm>
                    <a:prstGeom prst="rect">
                      <a:avLst/>
                    </a:prstGeom>
                  </pic:spPr>
                </pic:pic>
              </a:graphicData>
            </a:graphic>
          </wp:inline>
        </w:drawing>
      </w:r>
    </w:p>
    <w:p>
      <w:pPr>
        <w:autoSpaceDN w:val="0"/>
        <w:spacing w:beforeLines="50"/>
        <w:jc w:val="center"/>
        <w:rPr>
          <w:color w:val="000000" w:themeColor="text1"/>
          <w:sz w:val="24"/>
          <w:szCs w:val="20"/>
        </w:rPr>
      </w:pPr>
      <w:r>
        <w:rPr>
          <w:color w:val="000000" w:themeColor="text1"/>
          <w:sz w:val="24"/>
          <w:szCs w:val="20"/>
        </w:rPr>
        <w:t xml:space="preserve">图2-1 </w:t>
      </w:r>
      <w:r>
        <w:rPr>
          <w:rFonts w:hint="eastAsia"/>
          <w:color w:val="000000" w:themeColor="text1"/>
          <w:sz w:val="24"/>
          <w:szCs w:val="20"/>
        </w:rPr>
        <w:t>昭通市耀晨甲醇醇油有限公司</w:t>
      </w:r>
      <w:r>
        <w:rPr>
          <w:color w:val="000000" w:themeColor="text1"/>
          <w:sz w:val="24"/>
          <w:szCs w:val="20"/>
        </w:rPr>
        <w:t>交通、地理位置图</w:t>
      </w:r>
    </w:p>
    <w:p>
      <w:pPr>
        <w:spacing w:line="5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2.项目周边环境</w:t>
      </w:r>
    </w:p>
    <w:p>
      <w:pPr>
        <w:spacing w:line="5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昭通市昭阳区耀晨甲醇醇油有限公司东面及东南面分布有民房（2层，且靠近储罐区一侧的民房面向储罐区设置有窗户），甲醇储罐、通气管口与民房分别相距7.</w:t>
      </w:r>
      <w:r>
        <w:rPr>
          <w:rFonts w:hint="eastAsia" w:ascii="宋体" w:hAnsi="宋体"/>
          <w:color w:val="000000" w:themeColor="text1"/>
          <w:sz w:val="28"/>
          <w:szCs w:val="28"/>
          <w:lang w:val="en-US" w:eastAsia="zh-CN"/>
        </w:rPr>
        <w:t>5</w:t>
      </w:r>
      <w:r>
        <w:rPr>
          <w:rFonts w:hint="eastAsia" w:ascii="宋体" w:hAnsi="宋体"/>
          <w:color w:val="000000" w:themeColor="text1"/>
          <w:sz w:val="28"/>
          <w:szCs w:val="28"/>
        </w:rPr>
        <w:t>m、11.7m。</w:t>
      </w:r>
    </w:p>
    <w:p>
      <w:pPr>
        <w:spacing w:line="500"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公司南面为公路，公司内加注机与公路相距20m，西南面围墙一侧为小道，公司内加注机及装卸口与小道相距12.3m，小道一侧分布有民房，站内加注机及装卸口与</w:t>
      </w:r>
      <w:r>
        <w:rPr>
          <w:rFonts w:hint="eastAsia" w:ascii="宋体" w:hAnsi="宋体"/>
          <w:color w:val="000000" w:themeColor="text1"/>
          <w:sz w:val="28"/>
          <w:szCs w:val="28"/>
          <w:lang w:val="en-US" w:eastAsia="zh-CN"/>
        </w:rPr>
        <w:t>最近</w:t>
      </w:r>
      <w:r>
        <w:rPr>
          <w:rFonts w:hint="eastAsia" w:ascii="宋体" w:hAnsi="宋体"/>
          <w:color w:val="000000" w:themeColor="text1"/>
          <w:sz w:val="28"/>
          <w:szCs w:val="28"/>
        </w:rPr>
        <w:t>民房相距17.5m。</w:t>
      </w:r>
    </w:p>
    <w:p>
      <w:pPr>
        <w:pStyle w:val="2"/>
        <w:ind w:firstLine="560" w:firstLineChars="200"/>
        <w:rPr>
          <w:rFonts w:hint="default" w:eastAsia="宋体"/>
          <w:lang w:val="en-US" w:eastAsia="zh-CN"/>
        </w:rPr>
      </w:pPr>
      <w:r>
        <w:rPr>
          <w:rFonts w:hint="eastAsia"/>
          <w:color w:val="000000" w:themeColor="text1"/>
          <w:sz w:val="28"/>
          <w:szCs w:val="28"/>
          <w:lang w:val="en-US" w:eastAsia="zh-CN"/>
        </w:rPr>
        <w:t>公司西北面为空地，空地上有一线塔，站内</w:t>
      </w:r>
      <w:r>
        <w:rPr>
          <w:rFonts w:hint="eastAsia" w:ascii="宋体" w:hAnsi="宋体"/>
          <w:color w:val="000000" w:themeColor="text1"/>
          <w:sz w:val="28"/>
          <w:szCs w:val="28"/>
        </w:rPr>
        <w:t>加注机及装卸口与</w:t>
      </w:r>
      <w:r>
        <w:rPr>
          <w:rFonts w:hint="eastAsia"/>
          <w:color w:val="000000" w:themeColor="text1"/>
          <w:sz w:val="28"/>
          <w:szCs w:val="28"/>
          <w:lang w:val="en-US" w:eastAsia="zh-CN"/>
        </w:rPr>
        <w:t>线塔相距大于10m且有实体墙相隔。电线未跨越公司加注区。</w:t>
      </w:r>
    </w:p>
    <w:p>
      <w:pPr>
        <w:spacing w:line="5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公司北面为空地，东北面为空地及厕所。</w:t>
      </w:r>
    </w:p>
    <w:p>
      <w:pPr>
        <w:spacing w:line="5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公司周边无特殊名胜、风景、旅游，动植物及水生物保护区等环境保护敏感点。从现场踏勘情况看，公司周边无特殊名胜、风景、旅游，动植物及水生物保护区等环境保护敏感点。</w:t>
      </w:r>
    </w:p>
    <w:p>
      <w:pPr>
        <w:pStyle w:val="2"/>
        <w:jc w:val="center"/>
        <w:rPr>
          <w:rFonts w:hint="default"/>
          <w:color w:val="000000" w:themeColor="text1"/>
        </w:rPr>
      </w:pPr>
      <w:r>
        <w:rPr>
          <w:color w:val="000000" w:themeColor="text1"/>
        </w:rPr>
        <w:drawing>
          <wp:inline distT="0" distB="0" distL="114300" distR="114300">
            <wp:extent cx="5278120" cy="4042410"/>
            <wp:effectExtent l="0" t="0" r="17780" b="15240"/>
            <wp:docPr id="32" name="图片 2" descr="1559133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1559133254(1)"/>
                    <pic:cNvPicPr>
                      <a:picLocks noChangeAspect="1"/>
                    </pic:cNvPicPr>
                  </pic:nvPicPr>
                  <pic:blipFill>
                    <a:blip r:embed="rId11"/>
                    <a:stretch>
                      <a:fillRect/>
                    </a:stretch>
                  </pic:blipFill>
                  <pic:spPr>
                    <a:xfrm>
                      <a:off x="0" y="0"/>
                      <a:ext cx="5278120" cy="4042410"/>
                    </a:xfrm>
                    <a:prstGeom prst="rect">
                      <a:avLst/>
                    </a:prstGeom>
                    <a:noFill/>
                    <a:ln>
                      <a:noFill/>
                    </a:ln>
                  </pic:spPr>
                </pic:pic>
              </a:graphicData>
            </a:graphic>
          </wp:inline>
        </w:drawing>
      </w:r>
      <w:r>
        <w:rPr>
          <w:rFonts w:hint="default"/>
          <w:color w:val="000000" w:themeColor="text1"/>
        </w:rPr>
        <w:pict>
          <v:shape id="_x0000_s2054" o:spid="_x0000_s2054" o:spt="62" type="#_x0000_t62" style="position:absolute;left:0pt;margin-left:22.45pt;margin-top:94.75pt;height:23.8pt;width:61.95pt;z-index:251665408;mso-width-relative:page;mso-height-relative:page;" coordsize="21600,21600" o:gfxdata="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BmtTtoAAAAKAQAADwAAAAAAAAABACAAAAAiAAAAZHJzL2Rvd25y&#10;ZXYueG1sUEsBAhQAFAAAAAgAh07iQA7w9rs1AgAAbwQAAA4AAAAAAAAAAQAgAAAAKQEAAGRycy9l&#10;Mm9Eb2MueG1sUEsFBgAAAAAGAAYAWQEAANAFAAAAAA==&#10;" adj="19909,35576,14400">
            <v:path/>
            <v:fill focussize="0,0"/>
            <v:stroke joinstyle="miter"/>
            <v:imagedata o:title=""/>
            <o:lock v:ext="edit"/>
            <v:textbox>
              <w:txbxContent>
                <w:p>
                  <w:pPr>
                    <w:rPr>
                      <w:szCs w:val="21"/>
                    </w:rPr>
                  </w:pPr>
                  <w:r>
                    <w:rPr>
                      <w:rFonts w:hint="eastAsia"/>
                      <w:szCs w:val="21"/>
                    </w:rPr>
                    <w:t>公司位置</w:t>
                  </w:r>
                </w:p>
              </w:txbxContent>
            </v:textbox>
          </v:shape>
        </w:pict>
      </w:r>
      <w:r>
        <w:rPr>
          <w:rFonts w:hint="default"/>
          <w:color w:val="000000" w:themeColor="text1"/>
        </w:rPr>
        <w:pict>
          <v:shape id="_x0000_s2053" o:spid="_x0000_s2053" o:spt="32" type="#_x0000_t32" style="position:absolute;left:0pt;flip:y;margin-left:94.65pt;margin-top:144.2pt;height:19.45pt;width:29.2pt;z-index:251664384;mso-width-relative:page;mso-height-relative:page;" filled="f" stroked="t" coordsize="21600,21600" o:gfxdata="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j/SFtgAAAALAQAADwAAAAAAAAABACAAAAAiAAAAZHJzL2Rvd25yZXYueG1sUEsBAhQAFAAA&#10;AAgAh07iQG7+oz7vAQAArwMAAA4AAAAAAAAAAQAgAAAAJwEAAGRycy9lMm9Eb2MueG1sUEsFBgAA&#10;AAAGAAYAWQEAAIgFAAAAAA==&#10;">
            <v:path arrowok="t"/>
            <v:fill on="f" focussize="0,0"/>
            <v:stroke weight="1pt" color="#F79646"/>
            <v:imagedata o:title=""/>
            <o:lock v:ext="edit"/>
          </v:shape>
        </w:pict>
      </w:r>
      <w:r>
        <w:rPr>
          <w:rFonts w:hint="default"/>
          <w:color w:val="000000" w:themeColor="text1"/>
        </w:rPr>
        <w:pict>
          <v:shape id="_x0000_s2052" o:spid="_x0000_s2052" o:spt="32" type="#_x0000_t32" style="position:absolute;left:0pt;margin-left:94.65pt;margin-top:105.4pt;height:38.8pt;width:29.2pt;z-index:251663360;mso-width-relative:page;mso-height-relative:page;" filled="f" stroked="t" coordsize="21600,21600" o:gfxdata="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R0Tc3YAAAACwEAAA8AAAAAAAAAAQAgAAAAIgAAAGRycy9kb3ducmV2LnhtbFBLAQIUABQAAAAI&#10;AIdO4kC6j+HS7QEAAKUDAAAOAAAAAAAAAAEAIAAAACcBAABkcnMvZTJvRG9jLnhtbFBLBQYAAAAA&#10;BgAGAFkBAACGBQAAAAA=&#10;">
            <v:path arrowok="t"/>
            <v:fill on="f" focussize="0,0"/>
            <v:stroke weight="1pt" color="#F79646"/>
            <v:imagedata o:title=""/>
            <o:lock v:ext="edit"/>
          </v:shape>
        </w:pict>
      </w:r>
      <w:r>
        <w:rPr>
          <w:rFonts w:hint="default"/>
          <w:color w:val="000000" w:themeColor="text1"/>
        </w:rPr>
        <w:pict>
          <v:shape id="_x0000_s2051" o:spid="_x0000_s2051" o:spt="32" type="#_x0000_t32" style="position:absolute;left:0pt;margin-left:56.85pt;margin-top:132.35pt;height:31.3pt;width:37.8pt;z-index:251662336;mso-width-relative:page;mso-height-relative:page;" filled="f" stroked="t" coordsize="21600,21600" o:gfxdata="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AFvT9kAAAALAQAADwAAAAAAAAABACAAAAAiAAAAZHJzL2Rvd25yZXYueG1sUEsBAhQAFAAAAAgA&#10;h07iQCX4flbrAQAApQMAAA4AAAAAAAAAAQAgAAAAKAEAAGRycy9lMm9Eb2MueG1sUEsFBgAAAAAG&#10;AAYAWQEAAIUFAAAAAA==&#10;">
            <v:path arrowok="t"/>
            <v:fill on="f" focussize="0,0"/>
            <v:stroke weight="1pt" color="#F79646"/>
            <v:imagedata o:title=""/>
            <o:lock v:ext="edit"/>
          </v:shape>
        </w:pict>
      </w:r>
      <w:r>
        <w:rPr>
          <w:rFonts w:hint="default"/>
          <w:color w:val="000000" w:themeColor="text1"/>
        </w:rPr>
        <w:pict>
          <v:shape id="_x0000_s2050" o:spid="_x0000_s2050" o:spt="32" type="#_x0000_t32" style="position:absolute;left:0pt;flip:y;margin-left:60.65pt;margin-top:105.4pt;height:26.95pt;width:34pt;z-index:251661312;mso-width-relative:page;mso-height-relative:page;" filled="f" stroked="t" coordsize="21600,21600" o:gfxdata="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7mBFTWAAAACwEAAA8AAAAAAAAAAQAgAAAAIgAAAGRycy9kb3ducmV2LnhtbFBLAQIUABQAAAAI&#10;AIdO4kCB5ClB7wEAAK8DAAAOAAAAAAAAAAEAIAAAACUBAABkcnMvZTJvRG9jLnhtbFBLBQYAAAAA&#10;BgAGAFkBAACGBQAAAAA=&#10;">
            <v:path arrowok="t"/>
            <v:fill on="f" focussize="0,0"/>
            <v:stroke weight="1pt" color="#F79646"/>
            <v:imagedata o:title=""/>
            <o:lock v:ext="edit"/>
          </v:shape>
        </w:pict>
      </w:r>
    </w:p>
    <w:p>
      <w:pPr>
        <w:autoSpaceDN w:val="0"/>
        <w:spacing w:beforeLines="50"/>
        <w:jc w:val="center"/>
        <w:rPr>
          <w:color w:val="000000" w:themeColor="text1"/>
          <w:sz w:val="24"/>
          <w:szCs w:val="20"/>
        </w:rPr>
      </w:pPr>
      <w:r>
        <w:rPr>
          <w:color w:val="000000" w:themeColor="text1"/>
          <w:sz w:val="24"/>
          <w:szCs w:val="20"/>
        </w:rPr>
        <w:t>图2-</w:t>
      </w:r>
      <w:r>
        <w:rPr>
          <w:rFonts w:hint="eastAsia"/>
          <w:color w:val="000000" w:themeColor="text1"/>
          <w:sz w:val="24"/>
          <w:szCs w:val="20"/>
        </w:rPr>
        <w:t>2昭通市耀晨甲醇醇油有限公司及周边卫星图</w:t>
      </w:r>
    </w:p>
    <w:p>
      <w:pPr>
        <w:spacing w:line="500" w:lineRule="exact"/>
        <w:ind w:firstLine="560" w:firstLineChars="200"/>
        <w:rPr>
          <w:color w:val="000000" w:themeColor="text1"/>
          <w:sz w:val="28"/>
          <w:szCs w:val="28"/>
        </w:rPr>
      </w:pPr>
      <w:r>
        <w:rPr>
          <w:rFonts w:hint="eastAsia" w:ascii="宋体" w:hAnsi="宋体"/>
          <w:color w:val="000000" w:themeColor="text1"/>
          <w:sz w:val="28"/>
          <w:szCs w:val="28"/>
        </w:rPr>
        <w:t>由于甲醇储存</w:t>
      </w:r>
      <w:r>
        <w:rPr>
          <w:rFonts w:hint="eastAsia" w:ascii="宋体" w:hAnsi="宋体"/>
          <w:color w:val="000000" w:themeColor="text1"/>
          <w:sz w:val="28"/>
          <w:szCs w:val="28"/>
          <w:lang w:val="en-US" w:eastAsia="zh-CN"/>
        </w:rPr>
        <w:t>及加注的经营方式</w:t>
      </w:r>
      <w:r>
        <w:rPr>
          <w:rFonts w:hint="eastAsia" w:ascii="宋体" w:hAnsi="宋体"/>
          <w:color w:val="000000" w:themeColor="text1"/>
          <w:sz w:val="28"/>
          <w:szCs w:val="28"/>
        </w:rPr>
        <w:t>没有标准规范，甲醇属于甲类液体，且与汽油理化性质相近，故本次甲醇储罐与厂外建（构）筑物的防火间距采用《建筑设计防火规范（2018年版）》（GB50016-2014）及《汽车加油加气加氢站技术标准》（GB50156-2021）进行</w:t>
      </w:r>
      <w:r>
        <w:rPr>
          <w:rFonts w:hint="eastAsia" w:ascii="宋体" w:hAnsi="宋体"/>
          <w:color w:val="000000" w:themeColor="text1"/>
          <w:sz w:val="28"/>
          <w:szCs w:val="28"/>
          <w:lang w:val="en-US" w:eastAsia="zh-CN"/>
        </w:rPr>
        <w:t>辨识</w:t>
      </w:r>
      <w:r>
        <w:rPr>
          <w:rFonts w:hint="eastAsia" w:ascii="宋体" w:hAnsi="宋体"/>
          <w:color w:val="000000" w:themeColor="text1"/>
          <w:sz w:val="28"/>
          <w:szCs w:val="28"/>
        </w:rPr>
        <w:t>。昭通市昭阳区耀晨甲醇醇油有限公司的</w:t>
      </w:r>
      <w:r>
        <w:rPr>
          <w:color w:val="000000" w:themeColor="text1"/>
          <w:sz w:val="28"/>
          <w:szCs w:val="28"/>
        </w:rPr>
        <w:t>甲醇储罐与厂外建（构）筑物的防火间距见表2-1</w:t>
      </w:r>
      <w:r>
        <w:rPr>
          <w:rFonts w:hint="eastAsia"/>
          <w:color w:val="000000" w:themeColor="text1"/>
          <w:sz w:val="28"/>
          <w:szCs w:val="28"/>
        </w:rPr>
        <w:t>。</w:t>
      </w:r>
    </w:p>
    <w:p>
      <w:pPr>
        <w:autoSpaceDN w:val="0"/>
        <w:spacing w:beforeLines="50"/>
        <w:jc w:val="center"/>
        <w:rPr>
          <w:color w:val="000000" w:themeColor="text1"/>
          <w:sz w:val="24"/>
          <w:szCs w:val="20"/>
        </w:rPr>
      </w:pPr>
      <w:r>
        <w:rPr>
          <w:color w:val="000000" w:themeColor="text1"/>
          <w:sz w:val="24"/>
          <w:szCs w:val="20"/>
        </w:rPr>
        <w:t>表2-1 厂内甲醇储罐与厂外建（构）筑物的防火间距（m）</w:t>
      </w:r>
    </w:p>
    <w:tbl>
      <w:tblPr>
        <w:tblStyle w:val="52"/>
        <w:tblpPr w:leftFromText="180" w:rightFromText="180" w:vertAnchor="text" w:horzAnchor="page" w:tblpX="1540" w:tblpY="474"/>
        <w:tblOverlap w:val="never"/>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116"/>
        <w:gridCol w:w="1090"/>
        <w:gridCol w:w="1083"/>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jc w:val="center"/>
        </w:trPr>
        <w:tc>
          <w:tcPr>
            <w:tcW w:w="862" w:type="dxa"/>
            <w:vMerge w:val="restart"/>
            <w:vAlign w:val="center"/>
          </w:tcPr>
          <w:p>
            <w:pPr>
              <w:keepNext/>
              <w:adjustRightInd w:val="0"/>
              <w:snapToGrid w:val="0"/>
              <w:spacing w:line="500" w:lineRule="exact"/>
              <w:jc w:val="center"/>
              <w:rPr>
                <w:color w:val="000000" w:themeColor="text1"/>
                <w:szCs w:val="21"/>
              </w:rPr>
            </w:pPr>
            <w:r>
              <w:rPr>
                <w:color w:val="000000" w:themeColor="text1"/>
                <w:szCs w:val="21"/>
              </w:rPr>
              <w:t>方位</w:t>
            </w:r>
          </w:p>
        </w:tc>
        <w:tc>
          <w:tcPr>
            <w:tcW w:w="1116" w:type="dxa"/>
            <w:vMerge w:val="restart"/>
            <w:vAlign w:val="center"/>
          </w:tcPr>
          <w:p>
            <w:pPr>
              <w:keepNext/>
              <w:adjustRightInd w:val="0"/>
              <w:snapToGrid w:val="0"/>
              <w:spacing w:line="500" w:lineRule="exact"/>
              <w:rPr>
                <w:color w:val="000000" w:themeColor="text1"/>
                <w:szCs w:val="21"/>
              </w:rPr>
            </w:pPr>
            <w:r>
              <w:rPr>
                <w:color w:val="000000" w:themeColor="text1"/>
                <w:szCs w:val="21"/>
              </w:rPr>
              <w:t>周边环境</w:t>
            </w:r>
          </w:p>
        </w:tc>
        <w:tc>
          <w:tcPr>
            <w:tcW w:w="6780" w:type="dxa"/>
            <w:gridSpan w:val="3"/>
            <w:vAlign w:val="center"/>
          </w:tcPr>
          <w:p>
            <w:pPr>
              <w:keepNext/>
              <w:adjustRightInd w:val="0"/>
              <w:snapToGrid w:val="0"/>
              <w:spacing w:line="500" w:lineRule="exact"/>
              <w:jc w:val="center"/>
              <w:rPr>
                <w:color w:val="000000" w:themeColor="text1"/>
                <w:szCs w:val="21"/>
              </w:rPr>
            </w:pPr>
            <w:r>
              <w:rPr>
                <w:color w:val="000000" w:themeColor="text1"/>
                <w:szCs w:val="21"/>
              </w:rPr>
              <w:t>甲醇罐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62" w:type="dxa"/>
            <w:vMerge w:val="continue"/>
            <w:vAlign w:val="center"/>
          </w:tcPr>
          <w:p>
            <w:pPr>
              <w:keepNext/>
              <w:adjustRightInd w:val="0"/>
              <w:snapToGrid w:val="0"/>
              <w:spacing w:line="500" w:lineRule="exact"/>
              <w:ind w:firstLine="420" w:firstLineChars="200"/>
              <w:jc w:val="center"/>
              <w:rPr>
                <w:color w:val="000000" w:themeColor="text1"/>
                <w:szCs w:val="21"/>
              </w:rPr>
            </w:pPr>
          </w:p>
        </w:tc>
        <w:tc>
          <w:tcPr>
            <w:tcW w:w="1116" w:type="dxa"/>
            <w:vMerge w:val="continue"/>
            <w:vAlign w:val="center"/>
          </w:tcPr>
          <w:p>
            <w:pPr>
              <w:keepNext/>
              <w:adjustRightInd w:val="0"/>
              <w:snapToGrid w:val="0"/>
              <w:spacing w:line="500" w:lineRule="exact"/>
              <w:ind w:firstLine="420" w:firstLineChars="200"/>
              <w:jc w:val="center"/>
              <w:rPr>
                <w:color w:val="000000" w:themeColor="text1"/>
                <w:szCs w:val="21"/>
              </w:rPr>
            </w:pPr>
          </w:p>
        </w:tc>
        <w:tc>
          <w:tcPr>
            <w:tcW w:w="1090" w:type="dxa"/>
            <w:vAlign w:val="center"/>
          </w:tcPr>
          <w:p>
            <w:pPr>
              <w:keepNext/>
              <w:adjustRightInd w:val="0"/>
              <w:snapToGrid w:val="0"/>
              <w:spacing w:line="500" w:lineRule="exact"/>
              <w:jc w:val="center"/>
              <w:rPr>
                <w:color w:val="000000" w:themeColor="text1"/>
                <w:szCs w:val="21"/>
              </w:rPr>
            </w:pPr>
            <w:r>
              <w:rPr>
                <w:color w:val="000000" w:themeColor="text1"/>
                <w:szCs w:val="21"/>
              </w:rPr>
              <w:t>实测</w:t>
            </w:r>
            <w:r>
              <w:rPr>
                <w:rFonts w:hint="eastAsia"/>
                <w:color w:val="000000" w:themeColor="text1"/>
                <w:szCs w:val="21"/>
              </w:rPr>
              <w:t>值</w:t>
            </w:r>
          </w:p>
        </w:tc>
        <w:tc>
          <w:tcPr>
            <w:tcW w:w="1083" w:type="dxa"/>
            <w:vAlign w:val="center"/>
          </w:tcPr>
          <w:p>
            <w:pPr>
              <w:keepNext/>
              <w:adjustRightInd w:val="0"/>
              <w:snapToGrid w:val="0"/>
              <w:spacing w:line="500" w:lineRule="exact"/>
              <w:jc w:val="center"/>
              <w:rPr>
                <w:b/>
                <w:bCs/>
                <w:color w:val="000000" w:themeColor="text1"/>
                <w:szCs w:val="21"/>
              </w:rPr>
            </w:pPr>
            <w:r>
              <w:rPr>
                <w:b/>
                <w:bCs/>
                <w:color w:val="000000" w:themeColor="text1"/>
                <w:szCs w:val="21"/>
              </w:rPr>
              <w:t>标准值</w:t>
            </w:r>
          </w:p>
        </w:tc>
        <w:tc>
          <w:tcPr>
            <w:tcW w:w="4607"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862"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东南面</w:t>
            </w:r>
          </w:p>
        </w:tc>
        <w:tc>
          <w:tcPr>
            <w:tcW w:w="1116" w:type="dxa"/>
            <w:vAlign w:val="center"/>
          </w:tcPr>
          <w:p>
            <w:pPr>
              <w:keepNext/>
              <w:adjustRightInd w:val="0"/>
              <w:snapToGrid w:val="0"/>
              <w:spacing w:line="500" w:lineRule="exact"/>
              <w:jc w:val="center"/>
              <w:rPr>
                <w:color w:val="000000" w:themeColor="text1"/>
                <w:szCs w:val="21"/>
              </w:rPr>
            </w:pPr>
            <w:r>
              <w:rPr>
                <w:color w:val="000000" w:themeColor="text1"/>
                <w:szCs w:val="21"/>
              </w:rPr>
              <w:t>民房</w:t>
            </w:r>
            <w:r>
              <w:rPr>
                <w:rFonts w:hint="eastAsia"/>
                <w:color w:val="000000" w:themeColor="text1"/>
                <w:szCs w:val="21"/>
              </w:rPr>
              <w:t>（三级）</w:t>
            </w:r>
          </w:p>
        </w:tc>
        <w:tc>
          <w:tcPr>
            <w:tcW w:w="1090"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7.5</w:t>
            </w:r>
          </w:p>
        </w:tc>
        <w:tc>
          <w:tcPr>
            <w:tcW w:w="1083" w:type="dxa"/>
            <w:vAlign w:val="center"/>
          </w:tcPr>
          <w:p>
            <w:pPr>
              <w:keepNext/>
              <w:adjustRightInd w:val="0"/>
              <w:snapToGrid w:val="0"/>
              <w:spacing w:line="500" w:lineRule="exact"/>
              <w:jc w:val="center"/>
              <w:rPr>
                <w:b/>
                <w:bCs/>
                <w:color w:val="000000" w:themeColor="text1"/>
                <w:szCs w:val="21"/>
              </w:rPr>
            </w:pPr>
            <w:r>
              <w:rPr>
                <w:rFonts w:hint="eastAsia"/>
                <w:b/>
                <w:bCs/>
                <w:color w:val="000000" w:themeColor="text1"/>
                <w:szCs w:val="21"/>
              </w:rPr>
              <w:t>7.5</w:t>
            </w:r>
          </w:p>
        </w:tc>
        <w:tc>
          <w:tcPr>
            <w:tcW w:w="4607" w:type="dxa"/>
            <w:vAlign w:val="center"/>
          </w:tcPr>
          <w:p>
            <w:pPr>
              <w:keepNext/>
              <w:adjustRightInd w:val="0"/>
              <w:snapToGrid w:val="0"/>
              <w:jc w:val="center"/>
              <w:rPr>
                <w:color w:val="000000" w:themeColor="text1"/>
                <w:szCs w:val="21"/>
              </w:rPr>
            </w:pPr>
            <w:r>
              <w:rPr>
                <w:rFonts w:hint="eastAsia"/>
                <w:color w:val="000000" w:themeColor="text1"/>
                <w:szCs w:val="21"/>
              </w:rPr>
              <w:t>《建筑设计防火规范（2018年版）》（GB50016-2014）表4.2.1及注6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blHeader/>
          <w:jc w:val="center"/>
        </w:trPr>
        <w:tc>
          <w:tcPr>
            <w:tcW w:w="862"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西南面</w:t>
            </w:r>
          </w:p>
        </w:tc>
        <w:tc>
          <w:tcPr>
            <w:tcW w:w="1116"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民房（三级）</w:t>
            </w:r>
          </w:p>
        </w:tc>
        <w:tc>
          <w:tcPr>
            <w:tcW w:w="1090"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29.8</w:t>
            </w:r>
          </w:p>
        </w:tc>
        <w:tc>
          <w:tcPr>
            <w:tcW w:w="1083" w:type="dxa"/>
            <w:vAlign w:val="center"/>
          </w:tcPr>
          <w:p>
            <w:pPr>
              <w:keepNext/>
              <w:adjustRightInd w:val="0"/>
              <w:snapToGrid w:val="0"/>
              <w:spacing w:line="500" w:lineRule="exact"/>
              <w:jc w:val="center"/>
              <w:rPr>
                <w:b/>
                <w:bCs/>
                <w:color w:val="000000" w:themeColor="text1"/>
                <w:szCs w:val="21"/>
              </w:rPr>
            </w:pPr>
            <w:r>
              <w:rPr>
                <w:rFonts w:hint="eastAsia"/>
                <w:b/>
                <w:bCs/>
                <w:color w:val="000000" w:themeColor="text1"/>
                <w:szCs w:val="21"/>
              </w:rPr>
              <w:t>7.5</w:t>
            </w:r>
          </w:p>
        </w:tc>
        <w:tc>
          <w:tcPr>
            <w:tcW w:w="4607" w:type="dxa"/>
            <w:vAlign w:val="center"/>
          </w:tcPr>
          <w:p>
            <w:pPr>
              <w:keepNext/>
              <w:adjustRightInd w:val="0"/>
              <w:snapToGrid w:val="0"/>
              <w:jc w:val="center"/>
              <w:rPr>
                <w:color w:val="000000" w:themeColor="text1"/>
                <w:szCs w:val="21"/>
              </w:rPr>
            </w:pPr>
            <w:r>
              <w:rPr>
                <w:rFonts w:hint="eastAsia"/>
                <w:color w:val="000000" w:themeColor="text1"/>
                <w:szCs w:val="21"/>
              </w:rPr>
              <w:t>《建筑设计防火规范（2018年版）》（GB50016-2014）表4.2.1及注6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862"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东面</w:t>
            </w:r>
          </w:p>
        </w:tc>
        <w:tc>
          <w:tcPr>
            <w:tcW w:w="1116"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民房</w:t>
            </w:r>
          </w:p>
        </w:tc>
        <w:tc>
          <w:tcPr>
            <w:tcW w:w="1090"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10.7</w:t>
            </w:r>
          </w:p>
        </w:tc>
        <w:tc>
          <w:tcPr>
            <w:tcW w:w="1083" w:type="dxa"/>
            <w:vAlign w:val="center"/>
          </w:tcPr>
          <w:p>
            <w:pPr>
              <w:keepNext/>
              <w:adjustRightInd w:val="0"/>
              <w:snapToGrid w:val="0"/>
              <w:spacing w:line="500" w:lineRule="exact"/>
              <w:jc w:val="center"/>
              <w:rPr>
                <w:b/>
                <w:bCs/>
                <w:color w:val="000000" w:themeColor="text1"/>
                <w:szCs w:val="21"/>
              </w:rPr>
            </w:pPr>
            <w:r>
              <w:rPr>
                <w:rFonts w:hint="eastAsia"/>
                <w:b/>
                <w:bCs/>
                <w:color w:val="000000" w:themeColor="text1"/>
                <w:szCs w:val="21"/>
              </w:rPr>
              <w:t>7.5</w:t>
            </w:r>
          </w:p>
        </w:tc>
        <w:tc>
          <w:tcPr>
            <w:tcW w:w="4607" w:type="dxa"/>
            <w:vAlign w:val="center"/>
          </w:tcPr>
          <w:p>
            <w:pPr>
              <w:keepNext/>
              <w:adjustRightInd w:val="0"/>
              <w:snapToGrid w:val="0"/>
              <w:jc w:val="center"/>
              <w:rPr>
                <w:color w:val="000000" w:themeColor="text1"/>
                <w:szCs w:val="21"/>
              </w:rPr>
            </w:pPr>
            <w:r>
              <w:rPr>
                <w:rFonts w:hint="eastAsia"/>
                <w:color w:val="000000" w:themeColor="text1"/>
                <w:szCs w:val="21"/>
              </w:rPr>
              <w:t>《建筑设计防火规范（2018年版）》（GB50016-2014）表4.2.1及注6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862"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南</w:t>
            </w:r>
          </w:p>
        </w:tc>
        <w:tc>
          <w:tcPr>
            <w:tcW w:w="1116"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公路</w:t>
            </w:r>
          </w:p>
        </w:tc>
        <w:tc>
          <w:tcPr>
            <w:tcW w:w="1090"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20</w:t>
            </w:r>
          </w:p>
        </w:tc>
        <w:tc>
          <w:tcPr>
            <w:tcW w:w="1083" w:type="dxa"/>
            <w:vAlign w:val="center"/>
          </w:tcPr>
          <w:p>
            <w:pPr>
              <w:keepNext/>
              <w:adjustRightInd w:val="0"/>
              <w:snapToGrid w:val="0"/>
              <w:spacing w:line="500" w:lineRule="exact"/>
              <w:jc w:val="center"/>
              <w:rPr>
                <w:b/>
                <w:bCs/>
                <w:color w:val="000000" w:themeColor="text1"/>
                <w:szCs w:val="21"/>
              </w:rPr>
            </w:pPr>
            <w:r>
              <w:rPr>
                <w:rFonts w:hint="eastAsia"/>
                <w:b/>
                <w:bCs/>
                <w:color w:val="000000" w:themeColor="text1"/>
                <w:szCs w:val="21"/>
              </w:rPr>
              <w:t>20</w:t>
            </w:r>
          </w:p>
        </w:tc>
        <w:tc>
          <w:tcPr>
            <w:tcW w:w="4607" w:type="dxa"/>
            <w:vAlign w:val="center"/>
          </w:tcPr>
          <w:p>
            <w:pPr>
              <w:keepNext/>
              <w:adjustRightInd w:val="0"/>
              <w:snapToGrid w:val="0"/>
              <w:jc w:val="center"/>
              <w:rPr>
                <w:color w:val="000000" w:themeColor="text1"/>
                <w:szCs w:val="21"/>
              </w:rPr>
            </w:pPr>
            <w:r>
              <w:rPr>
                <w:rFonts w:hint="eastAsia"/>
                <w:color w:val="000000" w:themeColor="text1"/>
                <w:szCs w:val="21"/>
              </w:rPr>
              <w:t>《建筑设计防火规范（2018年版）》（GB50016-2014）表4.2.9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862" w:type="dxa"/>
            <w:vMerge w:val="restart"/>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color w:val="000000" w:themeColor="text1"/>
                <w:szCs w:val="21"/>
              </w:rPr>
              <w:t>方位</w:t>
            </w:r>
          </w:p>
        </w:tc>
        <w:tc>
          <w:tcPr>
            <w:tcW w:w="1116" w:type="dxa"/>
            <w:vMerge w:val="restart"/>
            <w:vAlign w:val="center"/>
          </w:tcPr>
          <w:p>
            <w:pPr>
              <w:keepNext/>
              <w:adjustRightInd w:val="0"/>
              <w:snapToGrid w:val="0"/>
              <w:spacing w:line="500" w:lineRule="exact"/>
              <w:rPr>
                <w:rFonts w:hint="eastAsia" w:ascii="Times New Roman" w:hAnsi="Times New Roman" w:eastAsia="宋体" w:cs="Times New Roman"/>
                <w:color w:val="000000" w:themeColor="text1"/>
                <w:kern w:val="2"/>
                <w:sz w:val="21"/>
                <w:szCs w:val="21"/>
                <w:lang w:val="en-US" w:eastAsia="zh-CN" w:bidi="ar-SA"/>
              </w:rPr>
            </w:pPr>
            <w:r>
              <w:rPr>
                <w:color w:val="000000" w:themeColor="text1"/>
                <w:szCs w:val="21"/>
              </w:rPr>
              <w:t>周边环境</w:t>
            </w:r>
          </w:p>
        </w:tc>
        <w:tc>
          <w:tcPr>
            <w:tcW w:w="6780" w:type="dxa"/>
            <w:gridSpan w:val="3"/>
            <w:vAlign w:val="center"/>
          </w:tcPr>
          <w:p>
            <w:pPr>
              <w:keepNext/>
              <w:adjustRightInd w:val="0"/>
              <w:snapToGrid w:val="0"/>
              <w:spacing w:line="500" w:lineRule="exact"/>
              <w:jc w:val="center"/>
              <w:rPr>
                <w:rFonts w:hint="eastAsia"/>
                <w:color w:val="000000" w:themeColor="text1"/>
                <w:szCs w:val="21"/>
              </w:rPr>
            </w:pPr>
            <w:r>
              <w:rPr>
                <w:rFonts w:hint="eastAsia"/>
                <w:color w:val="000000" w:themeColor="text1"/>
                <w:szCs w:val="21"/>
                <w:lang w:val="en-US" w:eastAsia="zh-CN"/>
              </w:rPr>
              <w:t>加注机、</w:t>
            </w:r>
            <w:r>
              <w:rPr>
                <w:color w:val="000000" w:themeColor="text1"/>
                <w:szCs w:val="21"/>
              </w:rPr>
              <w:t>甲醇通气口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862" w:type="dxa"/>
            <w:vMerge w:val="continue"/>
            <w:vAlign w:val="center"/>
          </w:tcPr>
          <w:p>
            <w:pPr>
              <w:keepNext/>
              <w:adjustRightInd w:val="0"/>
              <w:snapToGrid w:val="0"/>
              <w:spacing w:line="500" w:lineRule="exact"/>
              <w:jc w:val="center"/>
              <w:rPr>
                <w:rFonts w:hint="eastAsia"/>
                <w:color w:val="000000" w:themeColor="text1"/>
                <w:szCs w:val="21"/>
              </w:rPr>
            </w:pPr>
          </w:p>
        </w:tc>
        <w:tc>
          <w:tcPr>
            <w:tcW w:w="1116" w:type="dxa"/>
            <w:vMerge w:val="continue"/>
            <w:vAlign w:val="center"/>
          </w:tcPr>
          <w:p>
            <w:pPr>
              <w:keepNext/>
              <w:adjustRightInd w:val="0"/>
              <w:snapToGrid w:val="0"/>
              <w:spacing w:line="500" w:lineRule="exact"/>
              <w:jc w:val="center"/>
              <w:rPr>
                <w:rFonts w:hint="eastAsia"/>
                <w:color w:val="000000" w:themeColor="text1"/>
                <w:szCs w:val="21"/>
              </w:rPr>
            </w:pPr>
          </w:p>
        </w:tc>
        <w:tc>
          <w:tcPr>
            <w:tcW w:w="1090" w:type="dxa"/>
            <w:vAlign w:val="center"/>
          </w:tcPr>
          <w:p>
            <w:pPr>
              <w:keepNext/>
              <w:adjustRightInd w:val="0"/>
              <w:snapToGrid w:val="0"/>
              <w:spacing w:line="500" w:lineRule="exact"/>
              <w:jc w:val="center"/>
              <w:rPr>
                <w:rFonts w:hint="eastAsia"/>
                <w:color w:val="000000" w:themeColor="text1"/>
                <w:szCs w:val="21"/>
              </w:rPr>
            </w:pPr>
            <w:r>
              <w:rPr>
                <w:color w:val="000000" w:themeColor="text1"/>
                <w:szCs w:val="21"/>
              </w:rPr>
              <w:t>实测值</w:t>
            </w:r>
          </w:p>
        </w:tc>
        <w:tc>
          <w:tcPr>
            <w:tcW w:w="1083" w:type="dxa"/>
            <w:vAlign w:val="center"/>
          </w:tcPr>
          <w:p>
            <w:pPr>
              <w:keepNext/>
              <w:adjustRightInd w:val="0"/>
              <w:snapToGrid w:val="0"/>
              <w:spacing w:line="500" w:lineRule="exact"/>
              <w:jc w:val="center"/>
              <w:rPr>
                <w:rFonts w:hint="eastAsia"/>
                <w:b/>
                <w:bCs/>
                <w:color w:val="000000" w:themeColor="text1"/>
                <w:szCs w:val="21"/>
              </w:rPr>
            </w:pPr>
            <w:r>
              <w:rPr>
                <w:b/>
                <w:bCs/>
                <w:color w:val="000000" w:themeColor="text1"/>
                <w:szCs w:val="21"/>
              </w:rPr>
              <w:t>标准值</w:t>
            </w:r>
          </w:p>
        </w:tc>
        <w:tc>
          <w:tcPr>
            <w:tcW w:w="4607" w:type="dxa"/>
            <w:vAlign w:val="center"/>
          </w:tcPr>
          <w:p>
            <w:pPr>
              <w:keepNext/>
              <w:adjustRightInd w:val="0"/>
              <w:snapToGrid w:val="0"/>
              <w:spacing w:line="500" w:lineRule="exact"/>
              <w:jc w:val="center"/>
              <w:rPr>
                <w:rFonts w:hint="eastAsia"/>
                <w:color w:val="000000" w:themeColor="text1"/>
                <w:szCs w:val="21"/>
              </w:rPr>
            </w:pPr>
            <w:r>
              <w:rPr>
                <w:rFonts w:hint="eastAsia"/>
                <w:color w:val="000000" w:themeColor="text1"/>
                <w:szCs w:val="21"/>
              </w:rPr>
              <w:t>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862"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东南面</w:t>
            </w:r>
          </w:p>
        </w:tc>
        <w:tc>
          <w:tcPr>
            <w:tcW w:w="1116"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color w:val="000000" w:themeColor="text1"/>
                <w:szCs w:val="21"/>
              </w:rPr>
              <w:t>民房</w:t>
            </w:r>
            <w:r>
              <w:rPr>
                <w:rFonts w:hint="eastAsia"/>
                <w:color w:val="000000" w:themeColor="text1"/>
                <w:szCs w:val="21"/>
              </w:rPr>
              <w:t>（三级）</w:t>
            </w:r>
          </w:p>
        </w:tc>
        <w:tc>
          <w:tcPr>
            <w:tcW w:w="1090" w:type="dxa"/>
            <w:vAlign w:val="center"/>
          </w:tcPr>
          <w:p>
            <w:pPr>
              <w:keepNext/>
              <w:adjustRightInd w:val="0"/>
              <w:snapToGrid w:val="0"/>
              <w:spacing w:line="500" w:lineRule="exact"/>
              <w:jc w:val="center"/>
              <w:rPr>
                <w:rFonts w:hint="default" w:eastAsia="宋体"/>
                <w:color w:val="000000" w:themeColor="text1"/>
                <w:szCs w:val="21"/>
                <w:lang w:val="en-US" w:eastAsia="zh-CN"/>
              </w:rPr>
            </w:pPr>
            <w:r>
              <w:rPr>
                <w:rFonts w:hint="eastAsia"/>
                <w:color w:val="000000" w:themeColor="text1"/>
                <w:szCs w:val="21"/>
                <w:lang w:val="en-US" w:eastAsia="zh-CN"/>
              </w:rPr>
              <w:t>11.7</w:t>
            </w:r>
          </w:p>
        </w:tc>
        <w:tc>
          <w:tcPr>
            <w:tcW w:w="1083" w:type="dxa"/>
            <w:vAlign w:val="center"/>
          </w:tcPr>
          <w:p>
            <w:pPr>
              <w:keepNext/>
              <w:adjustRightInd w:val="0"/>
              <w:snapToGrid w:val="0"/>
              <w:spacing w:line="500" w:lineRule="exact"/>
              <w:jc w:val="center"/>
              <w:rPr>
                <w:rFonts w:hint="eastAsia" w:eastAsia="宋体"/>
                <w:b/>
                <w:bCs/>
                <w:color w:val="000000" w:themeColor="text1"/>
                <w:szCs w:val="21"/>
                <w:lang w:val="en-US" w:eastAsia="zh-CN"/>
              </w:rPr>
            </w:pPr>
            <w:r>
              <w:rPr>
                <w:rFonts w:hint="eastAsia"/>
                <w:b/>
                <w:bCs/>
                <w:color w:val="000000" w:themeColor="text1"/>
                <w:szCs w:val="21"/>
                <w:lang w:val="en-US" w:eastAsia="zh-CN"/>
              </w:rPr>
              <w:t>7</w:t>
            </w:r>
          </w:p>
        </w:tc>
        <w:tc>
          <w:tcPr>
            <w:tcW w:w="4607" w:type="dxa"/>
            <w:vAlign w:val="center"/>
          </w:tcPr>
          <w:p>
            <w:pPr>
              <w:keepNext/>
              <w:adjustRightInd w:val="0"/>
              <w:snapToGrid w:val="0"/>
              <w:jc w:val="center"/>
              <w:rPr>
                <w:rFonts w:hint="default" w:eastAsia="宋体"/>
                <w:color w:val="000000" w:themeColor="text1"/>
                <w:szCs w:val="21"/>
                <w:lang w:val="en-US" w:eastAsia="zh-CN"/>
              </w:rPr>
            </w:pPr>
            <w:r>
              <w:rPr>
                <w:rFonts w:hint="eastAsia"/>
                <w:color w:val="000000" w:themeColor="text1"/>
                <w:szCs w:val="21"/>
              </w:rPr>
              <w:t>《汽车加油加气加氢站技术标准》（GB50156-2021）</w:t>
            </w:r>
            <w:r>
              <w:rPr>
                <w:rFonts w:hint="eastAsia"/>
                <w:color w:val="000000" w:themeColor="text1"/>
                <w:szCs w:val="21"/>
                <w:lang w:val="en-US" w:eastAsia="zh-CN"/>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862"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西南面</w:t>
            </w:r>
          </w:p>
        </w:tc>
        <w:tc>
          <w:tcPr>
            <w:tcW w:w="1116"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民房（三级）</w:t>
            </w:r>
          </w:p>
        </w:tc>
        <w:tc>
          <w:tcPr>
            <w:tcW w:w="1090" w:type="dxa"/>
            <w:vAlign w:val="center"/>
          </w:tcPr>
          <w:p>
            <w:pPr>
              <w:keepNext/>
              <w:adjustRightInd w:val="0"/>
              <w:snapToGrid w:val="0"/>
              <w:spacing w:line="500" w:lineRule="exact"/>
              <w:jc w:val="center"/>
              <w:rPr>
                <w:rFonts w:hint="default" w:eastAsia="宋体"/>
                <w:color w:val="000000" w:themeColor="text1"/>
                <w:szCs w:val="21"/>
                <w:lang w:val="en-US" w:eastAsia="zh-CN"/>
              </w:rPr>
            </w:pPr>
            <w:r>
              <w:rPr>
                <w:rFonts w:hint="eastAsia"/>
                <w:color w:val="000000" w:themeColor="text1"/>
                <w:szCs w:val="21"/>
                <w:lang w:val="en-US" w:eastAsia="zh-CN"/>
              </w:rPr>
              <w:t>32</w:t>
            </w:r>
          </w:p>
        </w:tc>
        <w:tc>
          <w:tcPr>
            <w:tcW w:w="1083" w:type="dxa"/>
            <w:vAlign w:val="center"/>
          </w:tcPr>
          <w:p>
            <w:pPr>
              <w:keepNext/>
              <w:adjustRightInd w:val="0"/>
              <w:snapToGrid w:val="0"/>
              <w:spacing w:line="500" w:lineRule="exact"/>
              <w:jc w:val="center"/>
              <w:rPr>
                <w:rFonts w:hint="eastAsia" w:eastAsia="宋体"/>
                <w:b/>
                <w:bCs/>
                <w:color w:val="000000" w:themeColor="text1"/>
                <w:szCs w:val="21"/>
                <w:lang w:val="en-US" w:eastAsia="zh-CN"/>
              </w:rPr>
            </w:pPr>
            <w:r>
              <w:rPr>
                <w:rFonts w:hint="eastAsia"/>
                <w:b/>
                <w:bCs/>
                <w:color w:val="000000" w:themeColor="text1"/>
                <w:szCs w:val="21"/>
                <w:lang w:val="en-US" w:eastAsia="zh-CN"/>
              </w:rPr>
              <w:t>7</w:t>
            </w:r>
          </w:p>
        </w:tc>
        <w:tc>
          <w:tcPr>
            <w:tcW w:w="4607" w:type="dxa"/>
            <w:vAlign w:val="center"/>
          </w:tcPr>
          <w:p>
            <w:pPr>
              <w:keepNext/>
              <w:adjustRightInd w:val="0"/>
              <w:snapToGrid w:val="0"/>
              <w:jc w:val="center"/>
              <w:rPr>
                <w:rFonts w:hint="eastAsia"/>
                <w:color w:val="000000" w:themeColor="text1"/>
                <w:szCs w:val="21"/>
              </w:rPr>
            </w:pPr>
            <w:r>
              <w:rPr>
                <w:rFonts w:hint="eastAsia"/>
                <w:color w:val="000000" w:themeColor="text1"/>
                <w:szCs w:val="21"/>
              </w:rPr>
              <w:t>《汽车加油加气加氢站技术标准》（GB50156-2021）</w:t>
            </w:r>
            <w:r>
              <w:rPr>
                <w:rFonts w:hint="eastAsia"/>
                <w:color w:val="000000" w:themeColor="text1"/>
                <w:szCs w:val="21"/>
                <w:lang w:val="en-US" w:eastAsia="zh-CN"/>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blHeader/>
          <w:jc w:val="center"/>
        </w:trPr>
        <w:tc>
          <w:tcPr>
            <w:tcW w:w="862"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东面</w:t>
            </w:r>
          </w:p>
        </w:tc>
        <w:tc>
          <w:tcPr>
            <w:tcW w:w="1116"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民房</w:t>
            </w:r>
          </w:p>
        </w:tc>
        <w:tc>
          <w:tcPr>
            <w:tcW w:w="1090" w:type="dxa"/>
            <w:vAlign w:val="center"/>
          </w:tcPr>
          <w:p>
            <w:pPr>
              <w:keepNext/>
              <w:adjustRightInd w:val="0"/>
              <w:snapToGrid w:val="0"/>
              <w:spacing w:line="500" w:lineRule="exact"/>
              <w:jc w:val="center"/>
              <w:rPr>
                <w:rFonts w:hint="default" w:eastAsia="宋体"/>
                <w:color w:val="000000" w:themeColor="text1"/>
                <w:szCs w:val="21"/>
                <w:lang w:val="en-US" w:eastAsia="zh-CN"/>
              </w:rPr>
            </w:pPr>
            <w:r>
              <w:rPr>
                <w:rFonts w:hint="eastAsia"/>
                <w:color w:val="000000" w:themeColor="text1"/>
                <w:szCs w:val="21"/>
                <w:lang w:val="en-US" w:eastAsia="zh-CN"/>
              </w:rPr>
              <w:t>1.7</w:t>
            </w:r>
          </w:p>
        </w:tc>
        <w:tc>
          <w:tcPr>
            <w:tcW w:w="1083" w:type="dxa"/>
            <w:vAlign w:val="center"/>
          </w:tcPr>
          <w:p>
            <w:pPr>
              <w:keepNext/>
              <w:adjustRightInd w:val="0"/>
              <w:snapToGrid w:val="0"/>
              <w:spacing w:line="500" w:lineRule="exact"/>
              <w:jc w:val="center"/>
              <w:rPr>
                <w:rFonts w:hint="eastAsia" w:eastAsia="宋体"/>
                <w:b/>
                <w:bCs/>
                <w:color w:val="000000" w:themeColor="text1"/>
                <w:szCs w:val="21"/>
                <w:lang w:val="en-US" w:eastAsia="zh-CN"/>
              </w:rPr>
            </w:pPr>
            <w:r>
              <w:rPr>
                <w:rFonts w:hint="eastAsia"/>
                <w:b/>
                <w:bCs/>
                <w:color w:val="000000" w:themeColor="text1"/>
                <w:szCs w:val="21"/>
                <w:lang w:val="en-US" w:eastAsia="zh-CN"/>
              </w:rPr>
              <w:t>7</w:t>
            </w:r>
          </w:p>
        </w:tc>
        <w:tc>
          <w:tcPr>
            <w:tcW w:w="4607" w:type="dxa"/>
            <w:vAlign w:val="center"/>
          </w:tcPr>
          <w:p>
            <w:pPr>
              <w:keepNext/>
              <w:adjustRightInd w:val="0"/>
              <w:snapToGrid w:val="0"/>
              <w:jc w:val="center"/>
              <w:rPr>
                <w:rFonts w:hint="eastAsia"/>
                <w:color w:val="000000" w:themeColor="text1"/>
                <w:szCs w:val="21"/>
              </w:rPr>
            </w:pPr>
            <w:r>
              <w:rPr>
                <w:rFonts w:hint="eastAsia"/>
                <w:color w:val="000000" w:themeColor="text1"/>
                <w:szCs w:val="21"/>
              </w:rPr>
              <w:t>《汽车加油加气加氢站技术标准》（GB50156-2021）</w:t>
            </w:r>
            <w:r>
              <w:rPr>
                <w:rFonts w:hint="eastAsia"/>
                <w:color w:val="000000" w:themeColor="text1"/>
                <w:szCs w:val="21"/>
                <w:lang w:val="en-US" w:eastAsia="zh-CN"/>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862"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南</w:t>
            </w:r>
          </w:p>
        </w:tc>
        <w:tc>
          <w:tcPr>
            <w:tcW w:w="1116"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公路</w:t>
            </w:r>
          </w:p>
        </w:tc>
        <w:tc>
          <w:tcPr>
            <w:tcW w:w="1090" w:type="dxa"/>
            <w:vAlign w:val="center"/>
          </w:tcPr>
          <w:p>
            <w:pPr>
              <w:keepNext/>
              <w:adjustRightInd w:val="0"/>
              <w:snapToGrid w:val="0"/>
              <w:spacing w:line="500" w:lineRule="exact"/>
              <w:jc w:val="center"/>
              <w:rPr>
                <w:rFonts w:hint="default" w:eastAsia="宋体"/>
                <w:color w:val="000000" w:themeColor="text1"/>
                <w:szCs w:val="21"/>
                <w:lang w:val="en-US" w:eastAsia="zh-CN"/>
              </w:rPr>
            </w:pPr>
            <w:r>
              <w:rPr>
                <w:rFonts w:hint="eastAsia"/>
                <w:color w:val="000000" w:themeColor="text1"/>
                <w:szCs w:val="21"/>
                <w:lang w:val="en-US" w:eastAsia="zh-CN"/>
              </w:rPr>
              <w:t>24.2</w:t>
            </w:r>
          </w:p>
        </w:tc>
        <w:tc>
          <w:tcPr>
            <w:tcW w:w="1083" w:type="dxa"/>
            <w:vAlign w:val="center"/>
          </w:tcPr>
          <w:p>
            <w:pPr>
              <w:keepNext/>
              <w:adjustRightInd w:val="0"/>
              <w:snapToGrid w:val="0"/>
              <w:spacing w:line="500" w:lineRule="exact"/>
              <w:jc w:val="center"/>
              <w:rPr>
                <w:rFonts w:hint="default" w:eastAsia="宋体"/>
                <w:b/>
                <w:bCs/>
                <w:color w:val="000000" w:themeColor="text1"/>
                <w:szCs w:val="21"/>
                <w:lang w:val="en-US" w:eastAsia="zh-CN"/>
              </w:rPr>
            </w:pPr>
            <w:r>
              <w:rPr>
                <w:rFonts w:hint="eastAsia"/>
                <w:b/>
                <w:bCs/>
                <w:color w:val="000000" w:themeColor="text1"/>
                <w:szCs w:val="21"/>
                <w:lang w:val="en-US" w:eastAsia="zh-CN"/>
              </w:rPr>
              <w:t>5</w:t>
            </w:r>
          </w:p>
        </w:tc>
        <w:tc>
          <w:tcPr>
            <w:tcW w:w="4607" w:type="dxa"/>
            <w:vAlign w:val="center"/>
          </w:tcPr>
          <w:p>
            <w:pPr>
              <w:keepNext/>
              <w:adjustRightInd w:val="0"/>
              <w:snapToGrid w:val="0"/>
              <w:jc w:val="center"/>
              <w:rPr>
                <w:rFonts w:hint="eastAsia"/>
                <w:color w:val="000000" w:themeColor="text1"/>
                <w:szCs w:val="21"/>
              </w:rPr>
            </w:pPr>
            <w:r>
              <w:rPr>
                <w:rFonts w:hint="eastAsia"/>
                <w:color w:val="000000" w:themeColor="text1"/>
                <w:szCs w:val="21"/>
              </w:rPr>
              <w:t>《汽车加油加气加氢站技术标准》（GB50156-2021）</w:t>
            </w:r>
            <w:r>
              <w:rPr>
                <w:rFonts w:hint="eastAsia"/>
                <w:color w:val="000000" w:themeColor="text1"/>
                <w:szCs w:val="21"/>
                <w:lang w:val="en-US" w:eastAsia="zh-CN"/>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862" w:type="dxa"/>
            <w:vAlign w:val="center"/>
          </w:tcPr>
          <w:p>
            <w:pPr>
              <w:keepNext/>
              <w:adjustRightInd w:val="0"/>
              <w:snapToGrid w:val="0"/>
              <w:spacing w:line="500" w:lineRule="exact"/>
              <w:jc w:val="center"/>
              <w:rPr>
                <w:rFonts w:hint="eastAsia"/>
                <w:color w:val="000000" w:themeColor="text1"/>
                <w:szCs w:val="21"/>
              </w:rPr>
            </w:pPr>
            <w:r>
              <w:rPr>
                <w:color w:val="000000" w:themeColor="text1"/>
                <w:szCs w:val="21"/>
              </w:rPr>
              <w:t>备注</w:t>
            </w:r>
          </w:p>
        </w:tc>
        <w:tc>
          <w:tcPr>
            <w:tcW w:w="7896" w:type="dxa"/>
            <w:gridSpan w:val="4"/>
            <w:vAlign w:val="center"/>
          </w:tcPr>
          <w:p>
            <w:pPr>
              <w:keepNext/>
              <w:adjustRightInd w:val="0"/>
              <w:snapToGrid w:val="0"/>
              <w:jc w:val="center"/>
              <w:rPr>
                <w:rFonts w:hint="eastAsia"/>
                <w:color w:val="000000" w:themeColor="text1"/>
                <w:szCs w:val="21"/>
              </w:rPr>
            </w:pPr>
            <w:r>
              <w:rPr>
                <w:rFonts w:hint="eastAsia" w:ascii="Times New Roman" w:hAnsi="Times New Roman"/>
                <w:color w:val="000000" w:themeColor="text1"/>
                <w:kern w:val="2"/>
                <w:sz w:val="21"/>
                <w:szCs w:val="21"/>
              </w:rPr>
              <w:t>间距起算点：通气管——中心线；储罐——罐外壁；建筑物——最凸出外缘；表中加粗的部分为标准值。</w:t>
            </w:r>
          </w:p>
        </w:tc>
      </w:tr>
    </w:tbl>
    <w:p>
      <w:pPr>
        <w:pStyle w:val="19"/>
        <w:spacing w:afterLines="100" w:line="500" w:lineRule="exact"/>
        <w:jc w:val="center"/>
        <w:rPr>
          <w:rFonts w:ascii="楷体_GB2312" w:hAnsi="宋体" w:eastAsia="楷体_GB2312"/>
          <w:color w:val="000000" w:themeColor="text1"/>
          <w:kern w:val="3"/>
        </w:rPr>
      </w:pPr>
      <w:bookmarkStart w:id="377" w:name="_Toc6802_WPSOffice_Level2"/>
      <w:bookmarkStart w:id="378" w:name="_Toc19063"/>
      <w:r>
        <w:rPr>
          <w:rFonts w:hint="eastAsia" w:ascii="楷体_GB2312" w:hAnsi="宋体" w:eastAsia="楷体_GB2312"/>
          <w:color w:val="000000" w:themeColor="text1"/>
          <w:kern w:val="3"/>
        </w:rPr>
        <w:t>2.3自然条件</w:t>
      </w:r>
      <w:bookmarkEnd w:id="377"/>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2.3.1气象条件</w:t>
      </w:r>
      <w:bookmarkEnd w:id="378"/>
    </w:p>
    <w:p>
      <w:pPr>
        <w:spacing w:line="500" w:lineRule="exact"/>
        <w:ind w:firstLine="560" w:firstLineChars="200"/>
        <w:rPr>
          <w:color w:val="000000" w:themeColor="text1"/>
          <w:sz w:val="28"/>
          <w:szCs w:val="28"/>
        </w:rPr>
      </w:pPr>
      <w:r>
        <w:rPr>
          <w:rFonts w:hint="eastAsia" w:ascii="宋体" w:hAnsi="宋体"/>
          <w:color w:val="000000" w:themeColor="text1"/>
          <w:sz w:val="28"/>
          <w:szCs w:val="28"/>
        </w:rPr>
        <w:t>昭通市昭阳区耀晨甲醇醇油有限公司地处昭通市昭阳区，</w:t>
      </w:r>
      <w:r>
        <w:rPr>
          <w:rFonts w:hint="eastAsia" w:ascii="宋体" w:hAnsi="宋体"/>
          <w:color w:val="000000"/>
          <w:sz w:val="28"/>
          <w:szCs w:val="28"/>
          <w:lang w:val="en-US" w:eastAsia="zh-CN"/>
        </w:rPr>
        <w:t>昭阳区</w:t>
      </w:r>
      <w:r>
        <w:rPr>
          <w:rFonts w:ascii="宋体" w:hAnsi="宋体"/>
          <w:color w:val="000000"/>
          <w:sz w:val="28"/>
          <w:szCs w:val="28"/>
        </w:rPr>
        <w:t>属亚热带、暖温带共存的高原季风立体气候，全市年平均气温在11.3℃—21.1℃之间，最冷月气温出现在1月，平均月气温在 1.2℃—12.2℃之间；最热月气温在7月，平均月气温在19.8℃—27.3℃之间；日照情况较差，春季较多，冬季次之，夏、秋较少；各县年平均降雨量在660—1230mm 之间，总的分布特点是北部多于南部，东部多于西部，高海拔多于低海拔；全市除永善县常年主风向为东风外，其余各县冬冷季节最多风向为北风或偏北风，夏季随着季风环境的改变，盛行西南风，但最多风向仍是偏北风，常年平均风速 2.5m/s</w:t>
      </w:r>
      <w:r>
        <w:rPr>
          <w:rFonts w:hint="eastAsia" w:ascii="宋体" w:hAnsi="宋体"/>
          <w:color w:val="000000"/>
          <w:sz w:val="28"/>
          <w:szCs w:val="28"/>
        </w:rPr>
        <w:t>；</w:t>
      </w:r>
      <w:r>
        <w:rPr>
          <w:rFonts w:ascii="宋体" w:hAnsi="宋体"/>
          <w:color w:val="000000"/>
          <w:sz w:val="28"/>
          <w:szCs w:val="28"/>
        </w:rPr>
        <w:t>昭阳区境内地处暖带，为北纬高原大陆季风气候</w:t>
      </w:r>
      <w:r>
        <w:rPr>
          <w:color w:val="000000" w:themeColor="text1"/>
          <w:sz w:val="28"/>
          <w:szCs w:val="28"/>
        </w:rPr>
        <w:t>。</w:t>
      </w:r>
    </w:p>
    <w:p>
      <w:pPr>
        <w:pStyle w:val="19"/>
        <w:spacing w:afterLines="100" w:line="500" w:lineRule="exact"/>
        <w:rPr>
          <w:rFonts w:hint="eastAsia" w:ascii="楷体_GB2312" w:hAnsi="宋体" w:eastAsia="楷体_GB2312"/>
          <w:color w:val="000000"/>
          <w:kern w:val="3"/>
        </w:rPr>
      </w:pPr>
      <w:bookmarkStart w:id="379" w:name="_Toc8476"/>
      <w:r>
        <w:rPr>
          <w:rFonts w:hint="eastAsia" w:ascii="黑体" w:hAnsi="宋体" w:eastAsia="黑体"/>
          <w:color w:val="000000" w:themeColor="text1"/>
          <w:kern w:val="3"/>
          <w:sz w:val="28"/>
          <w:szCs w:val="28"/>
        </w:rPr>
        <w:t>2.3.2</w:t>
      </w:r>
      <w:bookmarkEnd w:id="379"/>
      <w:r>
        <w:rPr>
          <w:rFonts w:hint="eastAsia" w:ascii="楷体_GB2312" w:hAnsi="宋体" w:eastAsia="楷体_GB2312"/>
          <w:color w:val="000000"/>
          <w:kern w:val="3"/>
        </w:rPr>
        <w:t>地形、地貌、地质条件、地下水、地震等条件</w:t>
      </w:r>
    </w:p>
    <w:p>
      <w:pPr>
        <w:spacing w:line="500" w:lineRule="exact"/>
        <w:ind w:firstLine="560" w:firstLineChars="200"/>
        <w:rPr>
          <w:rFonts w:hint="default" w:ascii="宋体" w:hAnsi="宋体"/>
          <w:color w:val="000000" w:themeColor="text1"/>
          <w:sz w:val="28"/>
          <w:szCs w:val="28"/>
          <w:lang w:val="en-US" w:eastAsia="zh-CN"/>
        </w:rPr>
      </w:pPr>
      <w:r>
        <w:rPr>
          <w:rFonts w:hint="eastAsia" w:ascii="宋体" w:hAnsi="宋体"/>
          <w:color w:val="000000" w:themeColor="text1"/>
          <w:sz w:val="28"/>
          <w:szCs w:val="28"/>
          <w:lang w:val="en-US" w:eastAsia="zh-CN"/>
        </w:rPr>
        <w:t>1.地形</w:t>
      </w:r>
    </w:p>
    <w:p>
      <w:pPr>
        <w:spacing w:line="500"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昭通市昭阳区耀晨甲醇醇油有限公司未提供《场地岩土工程勘察报告》。根据评价组现场检查，</w:t>
      </w:r>
      <w:r>
        <w:rPr>
          <w:rFonts w:hint="eastAsia" w:ascii="宋体" w:hAnsi="宋体"/>
          <w:color w:val="000000" w:themeColor="text1"/>
          <w:sz w:val="28"/>
          <w:szCs w:val="28"/>
          <w:lang w:val="en-US" w:eastAsia="zh-CN"/>
        </w:rPr>
        <w:t>公司经营</w:t>
      </w:r>
      <w:r>
        <w:rPr>
          <w:rFonts w:hint="eastAsia" w:ascii="宋体" w:hAnsi="宋体"/>
          <w:color w:val="000000" w:themeColor="text1"/>
          <w:sz w:val="28"/>
          <w:szCs w:val="28"/>
        </w:rPr>
        <w:t>场地为平地，无洪水淹没危险。场地开阔无泥石流、滑坡、岩崩溶胀等不良地质现象，无山洪影响。</w:t>
      </w:r>
    </w:p>
    <w:p>
      <w:pPr>
        <w:spacing w:line="500"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lang w:val="en-US" w:eastAsia="zh-CN"/>
        </w:rPr>
        <w:t>2.</w:t>
      </w:r>
      <w:r>
        <w:rPr>
          <w:rFonts w:hint="eastAsia" w:ascii="宋体" w:hAnsi="宋体"/>
          <w:color w:val="000000" w:themeColor="text1"/>
          <w:sz w:val="28"/>
          <w:szCs w:val="28"/>
        </w:rPr>
        <w:t>水文条件</w:t>
      </w:r>
    </w:p>
    <w:p>
      <w:pPr>
        <w:spacing w:line="500" w:lineRule="exact"/>
        <w:ind w:firstLine="560" w:firstLineChars="200"/>
        <w:rPr>
          <w:rFonts w:hint="eastAsia" w:ascii="宋体" w:hAnsi="宋体" w:eastAsia="宋体"/>
          <w:sz w:val="28"/>
          <w:szCs w:val="28"/>
          <w:lang w:eastAsia="zh-CN"/>
        </w:rPr>
      </w:pPr>
      <w:r>
        <w:rPr>
          <w:rFonts w:hint="eastAsia" w:ascii="宋体" w:hAnsi="宋体"/>
          <w:color w:val="000000" w:themeColor="text1"/>
          <w:sz w:val="28"/>
          <w:szCs w:val="28"/>
        </w:rPr>
        <w:t>昭通市昭阳区耀晨甲醇醇油有限公司未提供《场地岩土工程勘察报告》。</w:t>
      </w:r>
      <w:r>
        <w:rPr>
          <w:rFonts w:hint="eastAsia" w:ascii="宋体" w:hAnsi="宋体"/>
          <w:sz w:val="28"/>
          <w:szCs w:val="28"/>
          <w:lang w:val="en-US" w:eastAsia="zh-CN"/>
        </w:rPr>
        <w:t>现场看</w:t>
      </w:r>
      <w:r>
        <w:rPr>
          <w:rFonts w:hint="eastAsia" w:ascii="宋体" w:hAnsi="宋体"/>
          <w:sz w:val="28"/>
          <w:szCs w:val="28"/>
        </w:rPr>
        <w:t>场地地下水的补给主要为大气降雨垂向补给及周边生活用水侧向补给，排泄主要为蒸发排泄，及向低洼地带径流排泄。场地附近无污染源，可不考虑地表水和地下水的污染</w:t>
      </w:r>
      <w:r>
        <w:rPr>
          <w:rFonts w:hint="eastAsia" w:ascii="宋体" w:hAnsi="宋体"/>
          <w:sz w:val="28"/>
          <w:szCs w:val="28"/>
          <w:lang w:eastAsia="zh-CN"/>
        </w:rPr>
        <w:t>。</w:t>
      </w:r>
    </w:p>
    <w:p>
      <w:pPr>
        <w:spacing w:line="500" w:lineRule="exact"/>
        <w:ind w:firstLine="560" w:firstLineChars="200"/>
        <w:rPr>
          <w:rFonts w:hint="default" w:ascii="宋体" w:hAnsi="宋体"/>
          <w:color w:val="000000" w:themeColor="text1"/>
          <w:sz w:val="28"/>
          <w:szCs w:val="28"/>
          <w:lang w:val="en-US" w:eastAsia="zh-CN"/>
        </w:rPr>
      </w:pPr>
      <w:r>
        <w:rPr>
          <w:rFonts w:hint="eastAsia" w:ascii="宋体" w:hAnsi="宋体"/>
          <w:color w:val="000000" w:themeColor="text1"/>
          <w:sz w:val="28"/>
          <w:szCs w:val="28"/>
          <w:lang w:val="en-US" w:eastAsia="zh-CN"/>
        </w:rPr>
        <w:t>3.</w:t>
      </w:r>
      <w:r>
        <w:rPr>
          <w:rFonts w:hint="eastAsia" w:ascii="宋体" w:hAnsi="宋体" w:eastAsia="宋体" w:cs="Times New Roman"/>
          <w:color w:val="0000FF"/>
          <w:sz w:val="28"/>
          <w:szCs w:val="28"/>
        </w:rPr>
        <w:t>地震基本烈度</w:t>
      </w:r>
    </w:p>
    <w:p>
      <w:pPr>
        <w:spacing w:line="500" w:lineRule="exact"/>
        <w:ind w:firstLine="560" w:firstLineChars="200"/>
        <w:rPr>
          <w:rFonts w:hint="eastAsia" w:ascii="宋体" w:hAnsi="宋体" w:eastAsia="宋体" w:cs="Times New Roman"/>
          <w:color w:val="000000"/>
          <w:sz w:val="28"/>
          <w:szCs w:val="28"/>
        </w:rPr>
      </w:pPr>
      <w:r>
        <w:rPr>
          <w:rFonts w:hint="eastAsia" w:ascii="宋体" w:hAnsi="宋体" w:eastAsia="宋体" w:cs="Times New Roman"/>
          <w:color w:val="0000FF"/>
          <w:sz w:val="28"/>
          <w:szCs w:val="28"/>
        </w:rPr>
        <w:t>据国家质量技术监督局2001年2月2日颁发的1∶400万《中国地震动峰值加速度区划图》及《建筑抗震设计规范（</w:t>
      </w:r>
      <w:r>
        <w:rPr>
          <w:rFonts w:hint="eastAsia" w:ascii="宋体" w:hAnsi="宋体" w:eastAsia="宋体" w:cs="Times New Roman"/>
          <w:color w:val="0000FF"/>
          <w:sz w:val="28"/>
          <w:szCs w:val="28"/>
          <w:lang w:val="en-US" w:eastAsia="zh-CN"/>
        </w:rPr>
        <w:t>2024</w:t>
      </w:r>
      <w:r>
        <w:rPr>
          <w:rFonts w:hint="eastAsia" w:ascii="宋体" w:hAnsi="宋体" w:eastAsia="宋体" w:cs="Times New Roman"/>
          <w:color w:val="0000FF"/>
          <w:sz w:val="28"/>
          <w:szCs w:val="28"/>
        </w:rPr>
        <w:t>版）》（GB50011－20</w:t>
      </w:r>
      <w:r>
        <w:rPr>
          <w:rFonts w:ascii="宋体" w:hAnsi="宋体" w:eastAsia="宋体" w:cs="Times New Roman"/>
          <w:color w:val="0000FF"/>
          <w:sz w:val="28"/>
          <w:szCs w:val="28"/>
        </w:rPr>
        <w:t>10</w:t>
      </w:r>
      <w:r>
        <w:rPr>
          <w:rFonts w:hint="eastAsia" w:ascii="宋体" w:hAnsi="宋体" w:eastAsia="宋体" w:cs="Times New Roman"/>
          <w:color w:val="0000FF"/>
          <w:sz w:val="28"/>
          <w:szCs w:val="28"/>
        </w:rPr>
        <w:t>）规范，划分为对建筑抗震有利地段。按《建筑抗震设计规范（</w:t>
      </w:r>
      <w:r>
        <w:rPr>
          <w:rFonts w:hint="eastAsia" w:ascii="宋体" w:hAnsi="宋体" w:eastAsia="宋体" w:cs="Times New Roman"/>
          <w:color w:val="0000FF"/>
          <w:sz w:val="28"/>
          <w:szCs w:val="28"/>
          <w:lang w:val="en-US" w:eastAsia="zh-CN"/>
        </w:rPr>
        <w:t>2024</w:t>
      </w:r>
      <w:r>
        <w:rPr>
          <w:rFonts w:hint="eastAsia" w:ascii="宋体" w:hAnsi="宋体" w:eastAsia="宋体" w:cs="Times New Roman"/>
          <w:color w:val="0000FF"/>
          <w:sz w:val="28"/>
          <w:szCs w:val="28"/>
        </w:rPr>
        <w:t>版）》（GB50011－20</w:t>
      </w:r>
      <w:r>
        <w:rPr>
          <w:rFonts w:ascii="宋体" w:hAnsi="宋体" w:eastAsia="宋体" w:cs="Times New Roman"/>
          <w:color w:val="0000FF"/>
          <w:sz w:val="28"/>
          <w:szCs w:val="28"/>
        </w:rPr>
        <w:t>10</w:t>
      </w:r>
      <w:r>
        <w:rPr>
          <w:rFonts w:hint="eastAsia" w:ascii="宋体" w:hAnsi="宋体" w:eastAsia="宋体" w:cs="Times New Roman"/>
          <w:color w:val="0000FF"/>
          <w:sz w:val="28"/>
          <w:szCs w:val="28"/>
        </w:rPr>
        <w:t>）附录A的划分，</w:t>
      </w:r>
      <w:r>
        <w:rPr>
          <w:rFonts w:hint="eastAsia" w:ascii="宋体" w:hAnsi="宋体" w:eastAsia="宋体" w:cs="Times New Roman"/>
          <w:color w:val="0000FF"/>
          <w:sz w:val="28"/>
          <w:szCs w:val="28"/>
          <w:lang w:val="en-US" w:eastAsia="zh-CN"/>
        </w:rPr>
        <w:t>昭阳区</w:t>
      </w:r>
      <w:r>
        <w:rPr>
          <w:rFonts w:hint="eastAsia" w:ascii="宋体" w:hAnsi="宋体" w:eastAsia="宋体" w:cs="Times New Roman"/>
          <w:color w:val="0000FF"/>
          <w:sz w:val="28"/>
          <w:szCs w:val="28"/>
        </w:rPr>
        <w:t>地震动峰值加速度为0.1g，地震基本烈度值为7度。建筑物按此标准抗震设防</w:t>
      </w:r>
      <w:r>
        <w:rPr>
          <w:rFonts w:hint="eastAsia" w:ascii="宋体" w:hAnsi="宋体" w:eastAsia="宋体" w:cs="Times New Roman"/>
          <w:color w:val="000000"/>
          <w:sz w:val="28"/>
          <w:szCs w:val="28"/>
        </w:rPr>
        <w:t>。</w:t>
      </w:r>
    </w:p>
    <w:p>
      <w:pPr>
        <w:pStyle w:val="19"/>
        <w:spacing w:afterLines="100" w:line="500" w:lineRule="exact"/>
        <w:jc w:val="center"/>
        <w:rPr>
          <w:rFonts w:hint="default" w:ascii="楷体_GB2312" w:hAnsi="宋体" w:eastAsia="楷体_GB2312"/>
          <w:color w:val="000000" w:themeColor="text1"/>
          <w:kern w:val="3"/>
          <w:lang w:val="en-US" w:eastAsia="zh-CN"/>
        </w:rPr>
      </w:pPr>
      <w:bookmarkStart w:id="380" w:name="_Toc10089"/>
      <w:bookmarkStart w:id="381" w:name="_Toc22187"/>
      <w:bookmarkStart w:id="382" w:name="_Toc10461"/>
      <w:bookmarkStart w:id="383" w:name="_Toc10275"/>
      <w:bookmarkStart w:id="384" w:name="_Toc16270"/>
      <w:bookmarkStart w:id="385" w:name="_Toc4477"/>
      <w:bookmarkStart w:id="386" w:name="_Toc15636"/>
      <w:bookmarkStart w:id="387" w:name="_Toc11305"/>
      <w:bookmarkStart w:id="388" w:name="_Toc20306"/>
      <w:bookmarkStart w:id="389" w:name="_Toc15313"/>
      <w:bookmarkStart w:id="390" w:name="_Toc11266"/>
      <w:bookmarkStart w:id="391" w:name="_Toc2588"/>
      <w:bookmarkStart w:id="392" w:name="_Toc16531"/>
      <w:bookmarkStart w:id="393" w:name="_Toc31466"/>
      <w:bookmarkStart w:id="394" w:name="_Toc20289"/>
      <w:bookmarkStart w:id="395" w:name="_Toc24673"/>
      <w:bookmarkStart w:id="396" w:name="_Toc1204_WPSOffice_Level2"/>
      <w:r>
        <w:rPr>
          <w:rFonts w:hint="eastAsia" w:ascii="楷体_GB2312" w:hAnsi="宋体" w:eastAsia="楷体_GB2312"/>
          <w:color w:val="000000" w:themeColor="text1"/>
          <w:kern w:val="3"/>
        </w:rPr>
        <w:t>2.3</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Pr>
          <w:rFonts w:hint="eastAsia" w:ascii="楷体_GB2312" w:hAnsi="宋体" w:eastAsia="楷体_GB2312"/>
          <w:color w:val="000000" w:themeColor="text1"/>
          <w:kern w:val="3"/>
          <w:lang w:val="en-US" w:eastAsia="zh-CN"/>
        </w:rPr>
        <w:t>总平面布置</w:t>
      </w:r>
    </w:p>
    <w:p>
      <w:pPr>
        <w:adjustRightInd w:val="0"/>
        <w:spacing w:line="500" w:lineRule="exact"/>
        <w:ind w:firstLine="576" w:firstLineChars="206"/>
        <w:rPr>
          <w:color w:val="000000" w:themeColor="text1"/>
          <w:sz w:val="28"/>
          <w:szCs w:val="28"/>
        </w:rPr>
      </w:pPr>
      <w:bookmarkStart w:id="397" w:name="_Toc217444161"/>
      <w:r>
        <w:rPr>
          <w:rFonts w:hint="eastAsia" w:ascii="宋体" w:hAnsi="宋体"/>
          <w:color w:val="000000" w:themeColor="text1"/>
          <w:sz w:val="28"/>
          <w:szCs w:val="28"/>
        </w:rPr>
        <w:t>昭通市昭阳区耀晨甲醇醇油有限公司</w:t>
      </w:r>
      <w:r>
        <w:rPr>
          <w:color w:val="000000" w:themeColor="text1"/>
          <w:sz w:val="28"/>
          <w:szCs w:val="28"/>
          <w:lang w:val="zh-CN"/>
        </w:rPr>
        <w:t>总平面布置由</w:t>
      </w:r>
      <w:r>
        <w:rPr>
          <w:rFonts w:hint="eastAsia"/>
          <w:color w:val="000000" w:themeColor="text1"/>
          <w:sz w:val="28"/>
          <w:szCs w:val="28"/>
        </w:rPr>
        <w:t>西</w:t>
      </w:r>
      <w:r>
        <w:rPr>
          <w:color w:val="000000" w:themeColor="text1"/>
          <w:sz w:val="28"/>
          <w:szCs w:val="28"/>
          <w:lang w:val="zh-CN"/>
        </w:rPr>
        <w:t>至</w:t>
      </w:r>
      <w:r>
        <w:rPr>
          <w:rFonts w:hint="eastAsia"/>
          <w:color w:val="000000" w:themeColor="text1"/>
          <w:sz w:val="28"/>
          <w:szCs w:val="28"/>
        </w:rPr>
        <w:t>东</w:t>
      </w:r>
      <w:r>
        <w:rPr>
          <w:color w:val="000000" w:themeColor="text1"/>
          <w:sz w:val="28"/>
          <w:szCs w:val="28"/>
          <w:lang w:val="zh-CN"/>
        </w:rPr>
        <w:t>分别为</w:t>
      </w:r>
      <w:r>
        <w:rPr>
          <w:rFonts w:hint="eastAsia"/>
          <w:color w:val="000000" w:themeColor="text1"/>
          <w:sz w:val="28"/>
          <w:szCs w:val="28"/>
        </w:rPr>
        <w:t>办公区、</w:t>
      </w:r>
      <w:r>
        <w:rPr>
          <w:color w:val="000000" w:themeColor="text1"/>
          <w:sz w:val="28"/>
          <w:szCs w:val="28"/>
        </w:rPr>
        <w:t>工艺及设备区</w:t>
      </w:r>
      <w:r>
        <w:rPr>
          <w:rFonts w:hint="eastAsia"/>
          <w:color w:val="000000" w:themeColor="text1"/>
          <w:sz w:val="28"/>
          <w:szCs w:val="28"/>
        </w:rPr>
        <w:t>、辅助区</w:t>
      </w:r>
      <w:r>
        <w:rPr>
          <w:color w:val="000000" w:themeColor="text1"/>
          <w:sz w:val="28"/>
          <w:szCs w:val="28"/>
        </w:rPr>
        <w:t>、</w:t>
      </w:r>
      <w:r>
        <w:rPr>
          <w:rFonts w:hint="eastAsia"/>
          <w:color w:val="000000" w:themeColor="text1"/>
          <w:sz w:val="28"/>
          <w:szCs w:val="28"/>
        </w:rPr>
        <w:t>储罐区</w:t>
      </w:r>
      <w:r>
        <w:rPr>
          <w:color w:val="000000" w:themeColor="text1"/>
          <w:sz w:val="28"/>
          <w:szCs w:val="28"/>
          <w:lang w:val="zh-CN"/>
        </w:rPr>
        <w:t>，</w:t>
      </w:r>
      <w:r>
        <w:rPr>
          <w:color w:val="000000" w:themeColor="text1"/>
          <w:sz w:val="28"/>
          <w:szCs w:val="28"/>
        </w:rPr>
        <w:t>具体布置如下：</w:t>
      </w:r>
    </w:p>
    <w:p>
      <w:pPr>
        <w:adjustRightInd w:val="0"/>
        <w:spacing w:line="500" w:lineRule="exact"/>
        <w:ind w:firstLine="576" w:firstLineChars="206"/>
        <w:rPr>
          <w:color w:val="000000" w:themeColor="text1"/>
          <w:sz w:val="28"/>
          <w:szCs w:val="28"/>
        </w:rPr>
      </w:pPr>
      <w:bookmarkStart w:id="398" w:name="_Toc7002"/>
      <w:r>
        <w:rPr>
          <w:rFonts w:hint="eastAsia"/>
          <w:color w:val="000000" w:themeColor="text1"/>
          <w:sz w:val="28"/>
          <w:szCs w:val="28"/>
        </w:rPr>
        <w:t>1.</w:t>
      </w:r>
      <w:r>
        <w:rPr>
          <w:color w:val="000000" w:themeColor="text1"/>
          <w:sz w:val="28"/>
          <w:szCs w:val="28"/>
        </w:rPr>
        <w:t>办公区</w:t>
      </w:r>
      <w:bookmarkEnd w:id="398"/>
    </w:p>
    <w:p>
      <w:pPr>
        <w:adjustRightInd w:val="0"/>
        <w:spacing w:line="500" w:lineRule="exact"/>
        <w:ind w:firstLine="576" w:firstLineChars="206"/>
        <w:rPr>
          <w:color w:val="000000" w:themeColor="text1"/>
          <w:sz w:val="28"/>
          <w:szCs w:val="28"/>
        </w:rPr>
      </w:pPr>
      <w:r>
        <w:rPr>
          <w:color w:val="000000" w:themeColor="text1"/>
          <w:sz w:val="28"/>
          <w:szCs w:val="28"/>
        </w:rPr>
        <w:t>办公区位于</w:t>
      </w:r>
      <w:r>
        <w:rPr>
          <w:rFonts w:hint="eastAsia"/>
          <w:color w:val="000000" w:themeColor="text1"/>
          <w:sz w:val="28"/>
          <w:szCs w:val="28"/>
        </w:rPr>
        <w:t>公司西侧</w:t>
      </w:r>
      <w:r>
        <w:rPr>
          <w:color w:val="000000" w:themeColor="text1"/>
          <w:sz w:val="28"/>
          <w:szCs w:val="28"/>
        </w:rPr>
        <w:t>，办公区</w:t>
      </w:r>
      <w:r>
        <w:rPr>
          <w:rFonts w:hint="eastAsia"/>
          <w:color w:val="000000" w:themeColor="text1"/>
          <w:sz w:val="28"/>
          <w:szCs w:val="28"/>
        </w:rPr>
        <w:t>为单层</w:t>
      </w:r>
      <w:r>
        <w:rPr>
          <w:color w:val="000000" w:themeColor="text1"/>
          <w:sz w:val="28"/>
          <w:szCs w:val="28"/>
        </w:rPr>
        <w:t>建筑，</w:t>
      </w:r>
      <w:r>
        <w:rPr>
          <w:rFonts w:hint="eastAsia"/>
          <w:color w:val="000000" w:themeColor="text1"/>
          <w:sz w:val="28"/>
          <w:szCs w:val="28"/>
        </w:rPr>
        <w:t>建筑</w:t>
      </w:r>
      <w:r>
        <w:rPr>
          <w:color w:val="000000" w:themeColor="text1"/>
          <w:sz w:val="28"/>
          <w:szCs w:val="28"/>
        </w:rPr>
        <w:t>面积约</w:t>
      </w:r>
      <w:r>
        <w:rPr>
          <w:rFonts w:hint="eastAsia"/>
          <w:color w:val="000000" w:themeColor="text1"/>
          <w:sz w:val="28"/>
          <w:szCs w:val="28"/>
        </w:rPr>
        <w:t>30</w:t>
      </w:r>
      <w:r>
        <w:rPr>
          <w:color w:val="000000" w:themeColor="text1"/>
          <w:sz w:val="28"/>
          <w:szCs w:val="28"/>
        </w:rPr>
        <w:t>m</w:t>
      </w:r>
      <w:r>
        <w:rPr>
          <w:color w:val="000000" w:themeColor="text1"/>
          <w:sz w:val="28"/>
          <w:szCs w:val="28"/>
          <w:vertAlign w:val="superscript"/>
        </w:rPr>
        <w:t>2</w:t>
      </w:r>
      <w:r>
        <w:rPr>
          <w:color w:val="000000" w:themeColor="text1"/>
          <w:sz w:val="28"/>
          <w:szCs w:val="28"/>
        </w:rPr>
        <w:t>，高为</w:t>
      </w:r>
      <w:r>
        <w:rPr>
          <w:rFonts w:hint="eastAsia"/>
          <w:color w:val="000000" w:themeColor="text1"/>
          <w:sz w:val="28"/>
          <w:szCs w:val="28"/>
        </w:rPr>
        <w:t>3</w:t>
      </w:r>
      <w:r>
        <w:rPr>
          <w:color w:val="000000" w:themeColor="text1"/>
          <w:sz w:val="28"/>
          <w:szCs w:val="28"/>
        </w:rPr>
        <w:t>m，主要用于办公，办公区</w:t>
      </w:r>
      <w:r>
        <w:rPr>
          <w:rFonts w:hint="eastAsia"/>
          <w:color w:val="000000" w:themeColor="text1"/>
          <w:sz w:val="28"/>
          <w:szCs w:val="28"/>
        </w:rPr>
        <w:t>与甲醇加注机、卸车区及甲醇储罐区相距9.6m、9.4m及21.5m</w:t>
      </w:r>
      <w:r>
        <w:rPr>
          <w:color w:val="000000" w:themeColor="text1"/>
          <w:sz w:val="28"/>
          <w:szCs w:val="28"/>
        </w:rPr>
        <w:t>。</w:t>
      </w:r>
    </w:p>
    <w:p>
      <w:pPr>
        <w:adjustRightInd w:val="0"/>
        <w:spacing w:line="500" w:lineRule="exact"/>
        <w:ind w:firstLine="576" w:firstLineChars="206"/>
        <w:rPr>
          <w:color w:val="000000" w:themeColor="text1"/>
          <w:sz w:val="28"/>
          <w:szCs w:val="28"/>
        </w:rPr>
      </w:pPr>
      <w:bookmarkStart w:id="399" w:name="_Toc23623"/>
      <w:r>
        <w:rPr>
          <w:color w:val="000000" w:themeColor="text1"/>
          <w:sz w:val="28"/>
          <w:szCs w:val="28"/>
        </w:rPr>
        <w:t>2.辅助区</w:t>
      </w:r>
      <w:bookmarkEnd w:id="399"/>
    </w:p>
    <w:p>
      <w:pPr>
        <w:adjustRightInd w:val="0"/>
        <w:spacing w:line="500" w:lineRule="exact"/>
        <w:ind w:firstLine="576" w:firstLineChars="206"/>
        <w:rPr>
          <w:color w:val="000000" w:themeColor="text1"/>
          <w:sz w:val="28"/>
          <w:szCs w:val="28"/>
        </w:rPr>
      </w:pPr>
      <w:r>
        <w:rPr>
          <w:color w:val="000000" w:themeColor="text1"/>
          <w:sz w:val="28"/>
          <w:szCs w:val="28"/>
        </w:rPr>
        <w:t>辅助区</w:t>
      </w:r>
      <w:r>
        <w:rPr>
          <w:rFonts w:hint="eastAsia"/>
          <w:color w:val="000000" w:themeColor="text1"/>
          <w:sz w:val="28"/>
          <w:szCs w:val="28"/>
        </w:rPr>
        <w:t>（主要为卫生间、值班室</w:t>
      </w:r>
      <w:r>
        <w:rPr>
          <w:rFonts w:hint="eastAsia"/>
          <w:color w:val="000000" w:themeColor="text1"/>
          <w:sz w:val="28"/>
          <w:szCs w:val="28"/>
          <w:lang w:eastAsia="zh-CN"/>
        </w:rPr>
        <w:t>、</w:t>
      </w:r>
      <w:r>
        <w:rPr>
          <w:rFonts w:hint="eastAsia"/>
          <w:color w:val="000000" w:themeColor="text1"/>
          <w:sz w:val="28"/>
          <w:szCs w:val="28"/>
          <w:lang w:val="en-US" w:eastAsia="zh-CN"/>
        </w:rPr>
        <w:t>配电室</w:t>
      </w:r>
      <w:r>
        <w:rPr>
          <w:rFonts w:hint="eastAsia"/>
          <w:color w:val="000000" w:themeColor="text1"/>
          <w:sz w:val="28"/>
          <w:szCs w:val="28"/>
        </w:rPr>
        <w:t>及厨房）</w:t>
      </w:r>
      <w:r>
        <w:rPr>
          <w:color w:val="000000" w:themeColor="text1"/>
          <w:sz w:val="28"/>
          <w:szCs w:val="28"/>
        </w:rPr>
        <w:t>位于</w:t>
      </w:r>
      <w:r>
        <w:rPr>
          <w:rFonts w:hint="eastAsia"/>
          <w:color w:val="000000" w:themeColor="text1"/>
          <w:sz w:val="28"/>
          <w:szCs w:val="28"/>
        </w:rPr>
        <w:t>公司南面，公司大门一侧</w:t>
      </w:r>
      <w:r>
        <w:rPr>
          <w:color w:val="000000" w:themeColor="text1"/>
          <w:sz w:val="28"/>
          <w:szCs w:val="28"/>
        </w:rPr>
        <w:t>，</w:t>
      </w:r>
      <w:r>
        <w:rPr>
          <w:rFonts w:hint="eastAsia"/>
          <w:color w:val="000000" w:themeColor="text1"/>
          <w:sz w:val="28"/>
          <w:szCs w:val="28"/>
        </w:rPr>
        <w:t>辅助区与甲醇加注机、卸车区及甲醇储罐区相距14m、15m及14m（平距）</w:t>
      </w:r>
      <w:r>
        <w:rPr>
          <w:color w:val="000000" w:themeColor="text1"/>
          <w:sz w:val="28"/>
          <w:szCs w:val="28"/>
        </w:rPr>
        <w:t>。</w:t>
      </w:r>
    </w:p>
    <w:p>
      <w:pPr>
        <w:adjustRightInd w:val="0"/>
        <w:spacing w:line="500" w:lineRule="exact"/>
        <w:ind w:firstLine="576" w:firstLineChars="206"/>
        <w:rPr>
          <w:color w:val="000000" w:themeColor="text1"/>
          <w:sz w:val="28"/>
          <w:szCs w:val="28"/>
        </w:rPr>
      </w:pPr>
      <w:bookmarkStart w:id="400" w:name="_Toc789"/>
      <w:r>
        <w:rPr>
          <w:color w:val="000000" w:themeColor="text1"/>
          <w:sz w:val="28"/>
          <w:szCs w:val="28"/>
        </w:rPr>
        <w:t>3.工艺及设备区</w:t>
      </w:r>
      <w:bookmarkEnd w:id="400"/>
    </w:p>
    <w:p>
      <w:pPr>
        <w:adjustRightInd w:val="0"/>
        <w:spacing w:line="500" w:lineRule="exact"/>
        <w:ind w:firstLine="576" w:firstLineChars="206"/>
        <w:rPr>
          <w:color w:val="000000" w:themeColor="text1"/>
          <w:sz w:val="28"/>
          <w:szCs w:val="28"/>
        </w:rPr>
      </w:pPr>
      <w:r>
        <w:rPr>
          <w:color w:val="000000" w:themeColor="text1"/>
          <w:sz w:val="28"/>
          <w:szCs w:val="28"/>
        </w:rPr>
        <w:t>工艺及设备区位于</w:t>
      </w:r>
      <w:r>
        <w:rPr>
          <w:rFonts w:hint="eastAsia"/>
          <w:color w:val="000000" w:themeColor="text1"/>
          <w:sz w:val="28"/>
          <w:szCs w:val="28"/>
        </w:rPr>
        <w:t>办公区</w:t>
      </w:r>
      <w:r>
        <w:rPr>
          <w:color w:val="000000" w:themeColor="text1"/>
          <w:sz w:val="28"/>
          <w:szCs w:val="28"/>
        </w:rPr>
        <w:t>与甲醇罐区中间，设置了钢架结构罩棚</w:t>
      </w:r>
      <w:r>
        <w:rPr>
          <w:rFonts w:hint="eastAsia"/>
          <w:color w:val="000000" w:themeColor="text1"/>
          <w:sz w:val="28"/>
          <w:szCs w:val="28"/>
        </w:rPr>
        <w:t>1</w:t>
      </w:r>
      <w:r>
        <w:rPr>
          <w:color w:val="000000" w:themeColor="text1"/>
          <w:sz w:val="28"/>
          <w:szCs w:val="28"/>
        </w:rPr>
        <w:t>座，</w:t>
      </w:r>
      <w:r>
        <w:rPr>
          <w:rFonts w:hint="eastAsia"/>
          <w:color w:val="000000" w:themeColor="text1"/>
          <w:sz w:val="28"/>
          <w:szCs w:val="28"/>
        </w:rPr>
        <w:t>罩棚的高度为3.5m</w:t>
      </w:r>
      <w:r>
        <w:rPr>
          <w:color w:val="000000" w:themeColor="text1"/>
          <w:sz w:val="28"/>
          <w:szCs w:val="28"/>
        </w:rPr>
        <w:t>；罩棚下设置了</w:t>
      </w:r>
      <w:r>
        <w:rPr>
          <w:rFonts w:hint="eastAsia"/>
          <w:color w:val="000000" w:themeColor="text1"/>
          <w:sz w:val="28"/>
          <w:szCs w:val="28"/>
        </w:rPr>
        <w:t>1台单枪加注机</w:t>
      </w:r>
      <w:r>
        <w:rPr>
          <w:color w:val="000000" w:themeColor="text1"/>
          <w:sz w:val="28"/>
          <w:szCs w:val="28"/>
        </w:rPr>
        <w:t>，作业现场通风良好</w:t>
      </w:r>
      <w:r>
        <w:rPr>
          <w:rFonts w:hint="eastAsia"/>
          <w:color w:val="000000" w:themeColor="text1"/>
          <w:sz w:val="28"/>
          <w:szCs w:val="28"/>
          <w:lang w:eastAsia="zh-CN"/>
        </w:rPr>
        <w:t>，</w:t>
      </w:r>
      <w:r>
        <w:rPr>
          <w:rFonts w:hint="eastAsia"/>
          <w:color w:val="000000" w:themeColor="text1"/>
          <w:sz w:val="28"/>
          <w:szCs w:val="28"/>
          <w:lang w:val="en-US" w:eastAsia="zh-CN"/>
        </w:rPr>
        <w:t>加注区一侧设置了防撞柱</w:t>
      </w:r>
      <w:r>
        <w:rPr>
          <w:color w:val="000000" w:themeColor="text1"/>
          <w:sz w:val="28"/>
          <w:szCs w:val="28"/>
        </w:rPr>
        <w:t>。</w:t>
      </w:r>
      <w:r>
        <w:rPr>
          <w:color w:val="000000" w:themeColor="text1"/>
          <w:sz w:val="28"/>
          <w:szCs w:val="28"/>
          <w:lang w:val="zh-CN"/>
        </w:rPr>
        <w:t>卸车区位于工艺及设备区，位于</w:t>
      </w:r>
      <w:r>
        <w:rPr>
          <w:rFonts w:hint="eastAsia"/>
          <w:color w:val="000000" w:themeColor="text1"/>
          <w:sz w:val="28"/>
          <w:szCs w:val="28"/>
        </w:rPr>
        <w:t>加注机一侧</w:t>
      </w:r>
      <w:r>
        <w:rPr>
          <w:color w:val="000000" w:themeColor="text1"/>
          <w:sz w:val="28"/>
          <w:szCs w:val="28"/>
          <w:lang w:val="zh-CN"/>
        </w:rPr>
        <w:t>，设置了</w:t>
      </w:r>
      <w:r>
        <w:rPr>
          <w:rFonts w:hint="eastAsia"/>
          <w:color w:val="000000" w:themeColor="text1"/>
          <w:sz w:val="28"/>
          <w:szCs w:val="28"/>
        </w:rPr>
        <w:t>2</w:t>
      </w:r>
      <w:r>
        <w:rPr>
          <w:color w:val="000000" w:themeColor="text1"/>
          <w:sz w:val="28"/>
          <w:szCs w:val="28"/>
          <w:lang w:val="zh-CN"/>
        </w:rPr>
        <w:t>个密闭卸车口</w:t>
      </w:r>
      <w:r>
        <w:rPr>
          <w:color w:val="000000" w:themeColor="text1"/>
          <w:sz w:val="28"/>
          <w:szCs w:val="28"/>
        </w:rPr>
        <w:t>，卸车口附近设置了静电接地夹（静电夹设置在罐区内，应设置在罐区外卸车口附近）。</w:t>
      </w:r>
    </w:p>
    <w:p>
      <w:pPr>
        <w:adjustRightInd w:val="0"/>
        <w:spacing w:line="500" w:lineRule="exact"/>
        <w:ind w:firstLine="576" w:firstLineChars="206"/>
        <w:rPr>
          <w:color w:val="000000" w:themeColor="text1"/>
          <w:sz w:val="28"/>
          <w:szCs w:val="28"/>
          <w:lang w:val="zh-CN"/>
        </w:rPr>
      </w:pPr>
      <w:r>
        <w:rPr>
          <w:color w:val="000000" w:themeColor="text1"/>
          <w:sz w:val="28"/>
          <w:szCs w:val="28"/>
          <w:lang w:val="zh-CN"/>
        </w:rPr>
        <w:t>项目内工艺管道采用埋地敷设，采用管沟敷设时，管沟用沙子或细土填满、填实；工艺管道埋地深度为0.4m，管道四周回填100mm厚中性沙子或细土。</w:t>
      </w:r>
    </w:p>
    <w:p>
      <w:pPr>
        <w:adjustRightInd w:val="0"/>
        <w:spacing w:line="500" w:lineRule="exact"/>
        <w:ind w:firstLine="576" w:firstLineChars="206"/>
        <w:rPr>
          <w:color w:val="000000" w:themeColor="text1"/>
          <w:sz w:val="28"/>
          <w:szCs w:val="28"/>
        </w:rPr>
      </w:pPr>
      <w:bookmarkStart w:id="401" w:name="_Toc11415"/>
      <w:r>
        <w:rPr>
          <w:color w:val="000000" w:themeColor="text1"/>
          <w:sz w:val="28"/>
          <w:szCs w:val="28"/>
        </w:rPr>
        <w:t>4.甲醇罐区布置</w:t>
      </w:r>
      <w:bookmarkEnd w:id="401"/>
    </w:p>
    <w:p>
      <w:pPr>
        <w:adjustRightInd w:val="0"/>
        <w:spacing w:line="500" w:lineRule="exact"/>
        <w:ind w:firstLine="576" w:firstLineChars="206"/>
        <w:rPr>
          <w:color w:val="000000" w:themeColor="text1"/>
          <w:sz w:val="28"/>
          <w:szCs w:val="28"/>
        </w:rPr>
      </w:pPr>
      <w:r>
        <w:rPr>
          <w:color w:val="000000" w:themeColor="text1"/>
          <w:sz w:val="28"/>
          <w:szCs w:val="28"/>
          <w:lang w:val="zh-CN"/>
        </w:rPr>
        <w:t>该项目甲醇采用埋地卧式单层罐储存，共两个储罐，</w:t>
      </w:r>
      <w:r>
        <w:rPr>
          <w:rFonts w:hint="eastAsia"/>
          <w:color w:val="000000" w:themeColor="text1"/>
          <w:sz w:val="28"/>
          <w:szCs w:val="28"/>
        </w:rPr>
        <w:t>30</w:t>
      </w:r>
      <w:r>
        <w:rPr>
          <w:color w:val="000000" w:themeColor="text1"/>
          <w:sz w:val="28"/>
          <w:szCs w:val="28"/>
          <w:lang w:val="zh-CN"/>
        </w:rPr>
        <w:t>m</w:t>
      </w:r>
      <w:r>
        <w:rPr>
          <w:color w:val="000000" w:themeColor="text1"/>
          <w:sz w:val="28"/>
          <w:szCs w:val="28"/>
          <w:vertAlign w:val="superscript"/>
          <w:lang w:val="zh-CN"/>
        </w:rPr>
        <w:t>3</w:t>
      </w:r>
      <w:r>
        <w:rPr>
          <w:color w:val="000000" w:themeColor="text1"/>
          <w:sz w:val="28"/>
          <w:szCs w:val="28"/>
          <w:lang w:val="zh-CN"/>
        </w:rPr>
        <w:t>/个</w:t>
      </w:r>
      <w:r>
        <w:rPr>
          <w:rFonts w:hint="eastAsia"/>
          <w:color w:val="000000" w:themeColor="text1"/>
          <w:sz w:val="28"/>
          <w:szCs w:val="28"/>
          <w:lang w:val="zh-CN"/>
        </w:rPr>
        <w:t>、</w:t>
      </w:r>
      <w:r>
        <w:rPr>
          <w:rFonts w:hint="eastAsia"/>
          <w:color w:val="000000" w:themeColor="text1"/>
          <w:sz w:val="28"/>
          <w:szCs w:val="28"/>
        </w:rPr>
        <w:t>50</w:t>
      </w:r>
      <w:r>
        <w:rPr>
          <w:color w:val="000000" w:themeColor="text1"/>
          <w:sz w:val="28"/>
          <w:szCs w:val="28"/>
          <w:lang w:val="zh-CN"/>
        </w:rPr>
        <w:t>m</w:t>
      </w:r>
      <w:r>
        <w:rPr>
          <w:color w:val="000000" w:themeColor="text1"/>
          <w:sz w:val="28"/>
          <w:szCs w:val="28"/>
          <w:vertAlign w:val="superscript"/>
          <w:lang w:val="zh-CN"/>
        </w:rPr>
        <w:t>3</w:t>
      </w:r>
      <w:r>
        <w:rPr>
          <w:color w:val="000000" w:themeColor="text1"/>
          <w:sz w:val="28"/>
          <w:szCs w:val="28"/>
          <w:lang w:val="zh-CN"/>
        </w:rPr>
        <w:t>/个，总储存量为</w:t>
      </w:r>
      <w:r>
        <w:rPr>
          <w:rFonts w:hint="eastAsia"/>
          <w:color w:val="000000" w:themeColor="text1"/>
          <w:sz w:val="28"/>
          <w:szCs w:val="28"/>
        </w:rPr>
        <w:t>80</w:t>
      </w:r>
      <w:r>
        <w:rPr>
          <w:color w:val="000000" w:themeColor="text1"/>
          <w:sz w:val="28"/>
          <w:szCs w:val="28"/>
          <w:lang w:val="zh-CN"/>
        </w:rPr>
        <w:t>m</w:t>
      </w:r>
      <w:r>
        <w:rPr>
          <w:color w:val="000000" w:themeColor="text1"/>
          <w:sz w:val="28"/>
          <w:szCs w:val="28"/>
          <w:vertAlign w:val="superscript"/>
          <w:lang w:val="zh-CN"/>
        </w:rPr>
        <w:t>3</w:t>
      </w:r>
      <w:r>
        <w:rPr>
          <w:color w:val="000000" w:themeColor="text1"/>
          <w:sz w:val="28"/>
          <w:szCs w:val="28"/>
        </w:rPr>
        <w:t>；每个储罐顶部各设置1个人孔；观察井顶部设绝缘井盖，每个储罐单独设置通气管，通气管高出地面4m，管口安装了阻火器。</w:t>
      </w:r>
    </w:p>
    <w:p>
      <w:pPr>
        <w:adjustRightInd w:val="0"/>
        <w:spacing w:line="500" w:lineRule="exact"/>
        <w:ind w:firstLine="576" w:firstLineChars="206"/>
        <w:rPr>
          <w:color w:val="000000" w:themeColor="text1"/>
          <w:sz w:val="28"/>
          <w:szCs w:val="28"/>
        </w:rPr>
      </w:pPr>
      <w:bookmarkStart w:id="402" w:name="_Toc1599"/>
      <w:r>
        <w:rPr>
          <w:color w:val="000000" w:themeColor="text1"/>
          <w:sz w:val="28"/>
          <w:szCs w:val="28"/>
        </w:rPr>
        <w:t>5.道路及出入口</w:t>
      </w:r>
      <w:bookmarkEnd w:id="402"/>
    </w:p>
    <w:p>
      <w:pPr>
        <w:adjustRightInd w:val="0"/>
        <w:spacing w:line="500" w:lineRule="exact"/>
        <w:ind w:firstLine="576" w:firstLineChars="206"/>
        <w:jc w:val="left"/>
        <w:rPr>
          <w:color w:val="000000" w:themeColor="text1"/>
          <w:sz w:val="28"/>
          <w:szCs w:val="28"/>
          <w:lang w:val="zh-CN"/>
        </w:rPr>
      </w:pPr>
      <w:r>
        <w:rPr>
          <w:color w:val="000000" w:themeColor="text1"/>
          <w:sz w:val="28"/>
          <w:szCs w:val="28"/>
          <w:lang w:val="zh-CN"/>
        </w:rPr>
        <w:t>项目内道路为水泥路面，</w:t>
      </w:r>
      <w:r>
        <w:rPr>
          <w:rFonts w:hint="eastAsia"/>
          <w:color w:val="000000" w:themeColor="text1"/>
          <w:sz w:val="28"/>
          <w:szCs w:val="28"/>
          <w:lang w:val="zh-CN"/>
        </w:rPr>
        <w:t>公司场地内宽约5m，长约7m。</w:t>
      </w:r>
      <w:r>
        <w:rPr>
          <w:color w:val="000000" w:themeColor="text1"/>
          <w:sz w:val="28"/>
          <w:szCs w:val="28"/>
          <w:lang w:val="zh-CN"/>
        </w:rPr>
        <w:t>该项目办公区与辅助区、工艺及设备区分开设置，其中</w:t>
      </w:r>
      <w:r>
        <w:rPr>
          <w:rFonts w:hint="eastAsia"/>
          <w:color w:val="000000" w:themeColor="text1"/>
          <w:sz w:val="28"/>
          <w:szCs w:val="28"/>
        </w:rPr>
        <w:t>公司南面设置进出口一个，办公区东侧设置临时进出口一个（平时为关闭状态）</w:t>
      </w:r>
      <w:r>
        <w:rPr>
          <w:color w:val="000000" w:themeColor="text1"/>
          <w:sz w:val="28"/>
          <w:szCs w:val="28"/>
          <w:lang w:val="zh-CN"/>
        </w:rPr>
        <w:t>。</w:t>
      </w:r>
    </w:p>
    <w:p>
      <w:pPr>
        <w:adjustRightInd w:val="0"/>
        <w:spacing w:line="500" w:lineRule="exact"/>
        <w:ind w:firstLine="576" w:firstLineChars="206"/>
        <w:rPr>
          <w:color w:val="000000" w:themeColor="text1"/>
          <w:sz w:val="28"/>
          <w:szCs w:val="28"/>
        </w:rPr>
      </w:pPr>
      <w:bookmarkStart w:id="403" w:name="_Toc9965"/>
      <w:r>
        <w:rPr>
          <w:color w:val="000000" w:themeColor="text1"/>
          <w:sz w:val="28"/>
          <w:szCs w:val="28"/>
        </w:rPr>
        <w:t>6.</w:t>
      </w:r>
      <w:bookmarkEnd w:id="403"/>
      <w:r>
        <w:rPr>
          <w:rFonts w:hint="eastAsia"/>
          <w:color w:val="000000" w:themeColor="text1"/>
          <w:sz w:val="28"/>
          <w:szCs w:val="28"/>
        </w:rPr>
        <w:t>防火间距</w:t>
      </w:r>
    </w:p>
    <w:p>
      <w:pPr>
        <w:autoSpaceDN w:val="0"/>
        <w:spacing w:beforeLines="50"/>
        <w:jc w:val="center"/>
        <w:rPr>
          <w:color w:val="000000" w:themeColor="text1"/>
          <w:sz w:val="24"/>
          <w:szCs w:val="20"/>
        </w:rPr>
      </w:pPr>
      <w:bookmarkStart w:id="404" w:name="_Toc29300"/>
      <w:bookmarkStart w:id="405" w:name="_Toc13131"/>
      <w:bookmarkStart w:id="406" w:name="_Toc23273"/>
      <w:bookmarkStart w:id="407" w:name="_Toc27491"/>
      <w:bookmarkStart w:id="408" w:name="_Toc25977"/>
      <w:r>
        <w:rPr>
          <w:color w:val="000000" w:themeColor="text1"/>
          <w:sz w:val="24"/>
          <w:szCs w:val="20"/>
        </w:rPr>
        <w:t>表2-2 厂内甲醇储罐各建（构）筑物的防火间距（m）</w:t>
      </w:r>
      <w:bookmarkEnd w:id="404"/>
      <w:bookmarkEnd w:id="405"/>
      <w:bookmarkEnd w:id="406"/>
      <w:bookmarkEnd w:id="407"/>
      <w:bookmarkEnd w:id="408"/>
    </w:p>
    <w:tbl>
      <w:tblPr>
        <w:tblStyle w:val="52"/>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950"/>
        <w:gridCol w:w="950"/>
        <w:gridCol w:w="2100"/>
        <w:gridCol w:w="883"/>
        <w:gridCol w:w="917"/>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Merge w:val="restart"/>
            <w:vAlign w:val="center"/>
          </w:tcPr>
          <w:p>
            <w:pPr>
              <w:autoSpaceDE w:val="0"/>
              <w:autoSpaceDN w:val="0"/>
              <w:adjustRightInd w:val="0"/>
              <w:jc w:val="center"/>
              <w:rPr>
                <w:color w:val="000000" w:themeColor="text1"/>
                <w:szCs w:val="21"/>
              </w:rPr>
            </w:pPr>
            <w:r>
              <w:rPr>
                <w:color w:val="000000" w:themeColor="text1"/>
                <w:szCs w:val="21"/>
              </w:rPr>
              <w:t>建构筑物</w:t>
            </w:r>
          </w:p>
        </w:tc>
        <w:tc>
          <w:tcPr>
            <w:tcW w:w="4000" w:type="dxa"/>
            <w:gridSpan w:val="3"/>
            <w:vAlign w:val="center"/>
          </w:tcPr>
          <w:p>
            <w:pPr>
              <w:autoSpaceDE w:val="0"/>
              <w:autoSpaceDN w:val="0"/>
              <w:adjustRightInd w:val="0"/>
              <w:jc w:val="center"/>
              <w:rPr>
                <w:color w:val="000000" w:themeColor="text1"/>
                <w:szCs w:val="21"/>
              </w:rPr>
            </w:pPr>
            <w:r>
              <w:rPr>
                <w:color w:val="000000" w:themeColor="text1"/>
                <w:szCs w:val="21"/>
              </w:rPr>
              <w:t>甲醇储罐</w:t>
            </w:r>
          </w:p>
        </w:tc>
        <w:tc>
          <w:tcPr>
            <w:tcW w:w="3970" w:type="dxa"/>
            <w:gridSpan w:val="3"/>
            <w:vAlign w:val="center"/>
          </w:tcPr>
          <w:p>
            <w:pPr>
              <w:autoSpaceDE w:val="0"/>
              <w:autoSpaceDN w:val="0"/>
              <w:adjustRightInd w:val="0"/>
              <w:jc w:val="center"/>
              <w:rPr>
                <w:color w:val="000000" w:themeColor="text1"/>
                <w:szCs w:val="21"/>
              </w:rPr>
            </w:pPr>
            <w:r>
              <w:rPr>
                <w:rFonts w:hint="eastAsia"/>
                <w:color w:val="000000" w:themeColor="text1"/>
                <w:szCs w:val="21"/>
                <w:lang w:val="en-US" w:eastAsia="zh-CN"/>
              </w:rPr>
              <w:t>加注机（</w:t>
            </w:r>
            <w:r>
              <w:rPr>
                <w:color w:val="000000" w:themeColor="text1"/>
                <w:szCs w:val="21"/>
              </w:rPr>
              <w:t>甲醇通气口</w:t>
            </w:r>
            <w:r>
              <w:rPr>
                <w:rFonts w:hint="eastAsia"/>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Merge w:val="continue"/>
            <w:vAlign w:val="center"/>
          </w:tcPr>
          <w:p>
            <w:pPr>
              <w:autoSpaceDE w:val="0"/>
              <w:autoSpaceDN w:val="0"/>
              <w:adjustRightInd w:val="0"/>
              <w:jc w:val="center"/>
              <w:rPr>
                <w:color w:val="000000" w:themeColor="text1"/>
                <w:szCs w:val="21"/>
              </w:rPr>
            </w:pPr>
          </w:p>
        </w:tc>
        <w:tc>
          <w:tcPr>
            <w:tcW w:w="950" w:type="dxa"/>
            <w:vAlign w:val="center"/>
          </w:tcPr>
          <w:p>
            <w:pPr>
              <w:autoSpaceDE w:val="0"/>
              <w:autoSpaceDN w:val="0"/>
              <w:adjustRightInd w:val="0"/>
              <w:jc w:val="center"/>
              <w:rPr>
                <w:color w:val="000000" w:themeColor="text1"/>
                <w:szCs w:val="21"/>
              </w:rPr>
            </w:pPr>
            <w:r>
              <w:rPr>
                <w:color w:val="000000" w:themeColor="text1"/>
                <w:szCs w:val="21"/>
              </w:rPr>
              <w:t>实测值</w:t>
            </w:r>
          </w:p>
        </w:tc>
        <w:tc>
          <w:tcPr>
            <w:tcW w:w="950" w:type="dxa"/>
            <w:vAlign w:val="center"/>
          </w:tcPr>
          <w:p>
            <w:pPr>
              <w:autoSpaceDE w:val="0"/>
              <w:autoSpaceDN w:val="0"/>
              <w:adjustRightInd w:val="0"/>
              <w:jc w:val="center"/>
              <w:rPr>
                <w:b/>
                <w:bCs/>
                <w:color w:val="000000" w:themeColor="text1"/>
                <w:szCs w:val="21"/>
              </w:rPr>
            </w:pPr>
            <w:r>
              <w:rPr>
                <w:b/>
                <w:bCs/>
                <w:color w:val="000000" w:themeColor="text1"/>
                <w:szCs w:val="21"/>
              </w:rPr>
              <w:t>标准值</w:t>
            </w:r>
          </w:p>
        </w:tc>
        <w:tc>
          <w:tcPr>
            <w:tcW w:w="2100" w:type="dxa"/>
            <w:vAlign w:val="center"/>
          </w:tcPr>
          <w:p>
            <w:pPr>
              <w:autoSpaceDE w:val="0"/>
              <w:autoSpaceDN w:val="0"/>
              <w:adjustRightInd w:val="0"/>
              <w:jc w:val="center"/>
              <w:rPr>
                <w:color w:val="000000" w:themeColor="text1"/>
                <w:szCs w:val="21"/>
              </w:rPr>
            </w:pPr>
            <w:r>
              <w:rPr>
                <w:rFonts w:hint="eastAsia"/>
                <w:color w:val="000000" w:themeColor="text1"/>
                <w:szCs w:val="21"/>
              </w:rPr>
              <w:t>依据标准</w:t>
            </w:r>
          </w:p>
        </w:tc>
        <w:tc>
          <w:tcPr>
            <w:tcW w:w="883" w:type="dxa"/>
            <w:vAlign w:val="center"/>
          </w:tcPr>
          <w:p>
            <w:pPr>
              <w:autoSpaceDE w:val="0"/>
              <w:autoSpaceDN w:val="0"/>
              <w:adjustRightInd w:val="0"/>
              <w:jc w:val="center"/>
              <w:rPr>
                <w:color w:val="000000" w:themeColor="text1"/>
                <w:szCs w:val="21"/>
              </w:rPr>
            </w:pPr>
            <w:r>
              <w:rPr>
                <w:color w:val="000000" w:themeColor="text1"/>
                <w:szCs w:val="21"/>
              </w:rPr>
              <w:t>实测值</w:t>
            </w:r>
          </w:p>
        </w:tc>
        <w:tc>
          <w:tcPr>
            <w:tcW w:w="917" w:type="dxa"/>
            <w:vAlign w:val="center"/>
          </w:tcPr>
          <w:p>
            <w:pPr>
              <w:autoSpaceDE w:val="0"/>
              <w:autoSpaceDN w:val="0"/>
              <w:adjustRightInd w:val="0"/>
              <w:jc w:val="center"/>
              <w:rPr>
                <w:b/>
                <w:bCs/>
                <w:color w:val="000000" w:themeColor="text1"/>
                <w:szCs w:val="21"/>
              </w:rPr>
            </w:pPr>
            <w:r>
              <w:rPr>
                <w:b/>
                <w:bCs/>
                <w:color w:val="000000" w:themeColor="text1"/>
                <w:szCs w:val="21"/>
              </w:rPr>
              <w:t>标准值</w:t>
            </w:r>
          </w:p>
        </w:tc>
        <w:tc>
          <w:tcPr>
            <w:tcW w:w="2170" w:type="dxa"/>
            <w:vAlign w:val="center"/>
          </w:tcPr>
          <w:p>
            <w:pPr>
              <w:autoSpaceDE w:val="0"/>
              <w:autoSpaceDN w:val="0"/>
              <w:adjustRightInd w:val="0"/>
              <w:jc w:val="center"/>
              <w:rPr>
                <w:color w:val="000000" w:themeColor="text1"/>
                <w:szCs w:val="21"/>
              </w:rPr>
            </w:pPr>
            <w:r>
              <w:rPr>
                <w:rFonts w:hint="eastAsia"/>
                <w:color w:val="000000" w:themeColor="text1"/>
                <w:szCs w:val="21"/>
              </w:rPr>
              <w:t>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Align w:val="center"/>
          </w:tcPr>
          <w:p>
            <w:pPr>
              <w:autoSpaceDE w:val="0"/>
              <w:autoSpaceDN w:val="0"/>
              <w:adjustRightInd w:val="0"/>
              <w:jc w:val="center"/>
              <w:rPr>
                <w:color w:val="000000" w:themeColor="text1"/>
                <w:szCs w:val="21"/>
              </w:rPr>
            </w:pPr>
            <w:r>
              <w:rPr>
                <w:color w:val="000000" w:themeColor="text1"/>
                <w:szCs w:val="21"/>
              </w:rPr>
              <w:t>办公楼</w:t>
            </w:r>
          </w:p>
        </w:tc>
        <w:tc>
          <w:tcPr>
            <w:tcW w:w="950" w:type="dxa"/>
            <w:vAlign w:val="center"/>
          </w:tcPr>
          <w:p>
            <w:pPr>
              <w:autoSpaceDE w:val="0"/>
              <w:autoSpaceDN w:val="0"/>
              <w:adjustRightInd w:val="0"/>
              <w:jc w:val="center"/>
              <w:rPr>
                <w:color w:val="000000" w:themeColor="text1"/>
                <w:szCs w:val="21"/>
              </w:rPr>
            </w:pPr>
            <w:r>
              <w:rPr>
                <w:rFonts w:hint="eastAsia"/>
                <w:color w:val="000000" w:themeColor="text1"/>
                <w:szCs w:val="21"/>
              </w:rPr>
              <w:t>21.5</w:t>
            </w:r>
          </w:p>
        </w:tc>
        <w:tc>
          <w:tcPr>
            <w:tcW w:w="950" w:type="dxa"/>
            <w:vAlign w:val="center"/>
          </w:tcPr>
          <w:p>
            <w:pPr>
              <w:autoSpaceDE w:val="0"/>
              <w:autoSpaceDN w:val="0"/>
              <w:adjustRightInd w:val="0"/>
              <w:jc w:val="center"/>
              <w:rPr>
                <w:b/>
                <w:bCs/>
                <w:color w:val="000000" w:themeColor="text1"/>
                <w:szCs w:val="21"/>
              </w:rPr>
            </w:pPr>
            <w:r>
              <w:rPr>
                <w:rFonts w:hint="eastAsia"/>
                <w:b/>
                <w:bCs/>
                <w:color w:val="000000" w:themeColor="text1"/>
                <w:szCs w:val="21"/>
              </w:rPr>
              <w:t>6</w:t>
            </w:r>
          </w:p>
        </w:tc>
        <w:tc>
          <w:tcPr>
            <w:tcW w:w="2100" w:type="dxa"/>
            <w:vAlign w:val="center"/>
          </w:tcPr>
          <w:p>
            <w:pPr>
              <w:autoSpaceDE w:val="0"/>
              <w:autoSpaceDN w:val="0"/>
              <w:adjustRightInd w:val="0"/>
              <w:jc w:val="center"/>
              <w:rPr>
                <w:color w:val="000000" w:themeColor="text1"/>
                <w:szCs w:val="21"/>
              </w:rPr>
            </w:pPr>
            <w:r>
              <w:rPr>
                <w:rFonts w:hint="eastAsia"/>
                <w:color w:val="000000" w:themeColor="text1"/>
                <w:szCs w:val="21"/>
              </w:rPr>
              <w:t>《建筑设计防火规范（2018年版）》（GB50016-2014）表4.2.1及注6</w:t>
            </w:r>
          </w:p>
        </w:tc>
        <w:tc>
          <w:tcPr>
            <w:tcW w:w="883" w:type="dxa"/>
            <w:vAlign w:val="center"/>
          </w:tcPr>
          <w:p>
            <w:pPr>
              <w:autoSpaceDE w:val="0"/>
              <w:autoSpaceDN w:val="0"/>
              <w:adjustRightInd w:val="0"/>
              <w:jc w:val="center"/>
              <w:rPr>
                <w:color w:val="000000" w:themeColor="text1"/>
                <w:szCs w:val="21"/>
              </w:rPr>
            </w:pPr>
            <w:r>
              <w:rPr>
                <w:rFonts w:hint="eastAsia"/>
                <w:color w:val="000000" w:themeColor="text1"/>
                <w:szCs w:val="21"/>
              </w:rPr>
              <w:t>24</w:t>
            </w:r>
          </w:p>
        </w:tc>
        <w:tc>
          <w:tcPr>
            <w:tcW w:w="917" w:type="dxa"/>
            <w:vAlign w:val="center"/>
          </w:tcPr>
          <w:p>
            <w:pPr>
              <w:autoSpaceDE w:val="0"/>
              <w:autoSpaceDN w:val="0"/>
              <w:adjustRightInd w:val="0"/>
              <w:jc w:val="center"/>
              <w:rPr>
                <w:rFonts w:hint="default" w:eastAsia="宋体"/>
                <w:b/>
                <w:bCs/>
                <w:color w:val="000000" w:themeColor="text1"/>
                <w:szCs w:val="21"/>
                <w:lang w:val="en-US" w:eastAsia="zh-CN"/>
              </w:rPr>
            </w:pPr>
            <w:r>
              <w:rPr>
                <w:rFonts w:hint="eastAsia"/>
                <w:b/>
                <w:bCs/>
                <w:color w:val="000000" w:themeColor="text1"/>
                <w:szCs w:val="21"/>
                <w:lang w:val="en-US" w:eastAsia="zh-CN"/>
              </w:rPr>
              <w:t>5（4）</w:t>
            </w:r>
          </w:p>
        </w:tc>
        <w:tc>
          <w:tcPr>
            <w:tcW w:w="2170" w:type="dxa"/>
            <w:vAlign w:val="center"/>
          </w:tcPr>
          <w:p>
            <w:pPr>
              <w:autoSpaceDE w:val="0"/>
              <w:autoSpaceDN w:val="0"/>
              <w:adjustRightInd w:val="0"/>
              <w:jc w:val="center"/>
              <w:rPr>
                <w:color w:val="000000" w:themeColor="text1"/>
                <w:szCs w:val="21"/>
              </w:rPr>
            </w:pPr>
            <w:r>
              <w:rPr>
                <w:color w:val="000000" w:themeColor="text1"/>
                <w:szCs w:val="21"/>
              </w:rPr>
              <w:t>《汽车加油加气</w:t>
            </w:r>
            <w:r>
              <w:rPr>
                <w:rFonts w:hint="eastAsia"/>
                <w:color w:val="000000" w:themeColor="text1"/>
                <w:szCs w:val="21"/>
              </w:rPr>
              <w:t>加氢站技术标准</w:t>
            </w:r>
            <w:r>
              <w:rPr>
                <w:color w:val="000000" w:themeColor="text1"/>
                <w:szCs w:val="21"/>
              </w:rPr>
              <w:t>》（GB50156-2021）中表5.0.13-1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Align w:val="center"/>
          </w:tcPr>
          <w:p>
            <w:pPr>
              <w:autoSpaceDE w:val="0"/>
              <w:autoSpaceDN w:val="0"/>
              <w:adjustRightInd w:val="0"/>
              <w:jc w:val="center"/>
              <w:rPr>
                <w:color w:val="000000" w:themeColor="text1"/>
                <w:szCs w:val="21"/>
              </w:rPr>
            </w:pPr>
            <w:r>
              <w:rPr>
                <w:color w:val="000000" w:themeColor="text1"/>
                <w:szCs w:val="21"/>
              </w:rPr>
              <w:t>辅助用房</w:t>
            </w:r>
          </w:p>
        </w:tc>
        <w:tc>
          <w:tcPr>
            <w:tcW w:w="950" w:type="dxa"/>
            <w:vAlign w:val="center"/>
          </w:tcPr>
          <w:p>
            <w:pPr>
              <w:autoSpaceDE w:val="0"/>
              <w:autoSpaceDN w:val="0"/>
              <w:adjustRightInd w:val="0"/>
              <w:jc w:val="center"/>
              <w:rPr>
                <w:color w:val="000000" w:themeColor="text1"/>
                <w:szCs w:val="21"/>
              </w:rPr>
            </w:pPr>
            <w:r>
              <w:rPr>
                <w:rFonts w:hint="eastAsia"/>
                <w:color w:val="000000" w:themeColor="text1"/>
                <w:szCs w:val="21"/>
              </w:rPr>
              <w:t>14</w:t>
            </w:r>
          </w:p>
        </w:tc>
        <w:tc>
          <w:tcPr>
            <w:tcW w:w="950" w:type="dxa"/>
            <w:vAlign w:val="center"/>
          </w:tcPr>
          <w:p>
            <w:pPr>
              <w:autoSpaceDE w:val="0"/>
              <w:autoSpaceDN w:val="0"/>
              <w:adjustRightInd w:val="0"/>
              <w:jc w:val="center"/>
              <w:rPr>
                <w:b/>
                <w:bCs/>
                <w:color w:val="000000" w:themeColor="text1"/>
                <w:szCs w:val="21"/>
              </w:rPr>
            </w:pPr>
            <w:r>
              <w:rPr>
                <w:rFonts w:hint="eastAsia"/>
                <w:b/>
                <w:bCs/>
                <w:color w:val="000000" w:themeColor="text1"/>
                <w:szCs w:val="21"/>
              </w:rPr>
              <w:t>6</w:t>
            </w:r>
          </w:p>
        </w:tc>
        <w:tc>
          <w:tcPr>
            <w:tcW w:w="2100" w:type="dxa"/>
            <w:vAlign w:val="center"/>
          </w:tcPr>
          <w:p>
            <w:pPr>
              <w:autoSpaceDE w:val="0"/>
              <w:autoSpaceDN w:val="0"/>
              <w:adjustRightInd w:val="0"/>
              <w:jc w:val="center"/>
              <w:rPr>
                <w:color w:val="000000" w:themeColor="text1"/>
                <w:szCs w:val="21"/>
              </w:rPr>
            </w:pPr>
            <w:r>
              <w:rPr>
                <w:rFonts w:hint="eastAsia"/>
                <w:color w:val="000000" w:themeColor="text1"/>
                <w:szCs w:val="21"/>
              </w:rPr>
              <w:t>《建筑设计防火规范（2018年版）》（GB50016-2014）表4.2.1及注6</w:t>
            </w:r>
          </w:p>
        </w:tc>
        <w:tc>
          <w:tcPr>
            <w:tcW w:w="883" w:type="dxa"/>
            <w:vAlign w:val="center"/>
          </w:tcPr>
          <w:p>
            <w:pPr>
              <w:autoSpaceDE w:val="0"/>
              <w:autoSpaceDN w:val="0"/>
              <w:adjustRightInd w:val="0"/>
              <w:jc w:val="center"/>
              <w:rPr>
                <w:color w:val="000000" w:themeColor="text1"/>
                <w:szCs w:val="21"/>
              </w:rPr>
            </w:pPr>
            <w:r>
              <w:rPr>
                <w:rFonts w:hint="eastAsia"/>
                <w:color w:val="000000" w:themeColor="text1"/>
                <w:szCs w:val="21"/>
              </w:rPr>
              <w:t>16.5</w:t>
            </w:r>
          </w:p>
        </w:tc>
        <w:tc>
          <w:tcPr>
            <w:tcW w:w="917" w:type="dxa"/>
            <w:vAlign w:val="center"/>
          </w:tcPr>
          <w:p>
            <w:pPr>
              <w:autoSpaceDE w:val="0"/>
              <w:autoSpaceDN w:val="0"/>
              <w:adjustRightInd w:val="0"/>
              <w:jc w:val="center"/>
              <w:rPr>
                <w:b/>
                <w:bCs/>
                <w:color w:val="000000" w:themeColor="text1"/>
                <w:szCs w:val="21"/>
              </w:rPr>
            </w:pPr>
            <w:r>
              <w:rPr>
                <w:rFonts w:hint="eastAsia"/>
                <w:b/>
                <w:bCs/>
                <w:color w:val="000000" w:themeColor="text1"/>
                <w:szCs w:val="21"/>
                <w:lang w:val="en-US" w:eastAsia="zh-CN"/>
              </w:rPr>
              <w:t>-（</w:t>
            </w:r>
            <w:r>
              <w:rPr>
                <w:b/>
                <w:bCs/>
                <w:color w:val="000000" w:themeColor="text1"/>
                <w:szCs w:val="21"/>
              </w:rPr>
              <w:t>4</w:t>
            </w:r>
            <w:r>
              <w:rPr>
                <w:rFonts w:hint="eastAsia"/>
                <w:b/>
                <w:bCs/>
                <w:color w:val="000000" w:themeColor="text1"/>
                <w:szCs w:val="21"/>
                <w:lang w:val="en-US" w:eastAsia="zh-CN"/>
              </w:rPr>
              <w:t>）</w:t>
            </w:r>
          </w:p>
        </w:tc>
        <w:tc>
          <w:tcPr>
            <w:tcW w:w="2170" w:type="dxa"/>
            <w:vAlign w:val="center"/>
          </w:tcPr>
          <w:p>
            <w:pPr>
              <w:autoSpaceDE w:val="0"/>
              <w:autoSpaceDN w:val="0"/>
              <w:adjustRightInd w:val="0"/>
              <w:jc w:val="center"/>
              <w:rPr>
                <w:color w:val="000000" w:themeColor="text1"/>
                <w:szCs w:val="21"/>
              </w:rPr>
            </w:pPr>
            <w:r>
              <w:rPr>
                <w:color w:val="000000" w:themeColor="text1"/>
                <w:szCs w:val="21"/>
              </w:rPr>
              <w:t>《汽车加油加气</w:t>
            </w:r>
            <w:r>
              <w:rPr>
                <w:rFonts w:hint="eastAsia"/>
                <w:color w:val="000000" w:themeColor="text1"/>
                <w:szCs w:val="21"/>
              </w:rPr>
              <w:t>加氢站技术标准</w:t>
            </w:r>
            <w:r>
              <w:rPr>
                <w:color w:val="000000" w:themeColor="text1"/>
                <w:szCs w:val="21"/>
              </w:rPr>
              <w:t>》（GB50156-2021）中表5.0.13-1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Align w:val="center"/>
          </w:tcPr>
          <w:p>
            <w:pPr>
              <w:autoSpaceDE w:val="0"/>
              <w:autoSpaceDN w:val="0"/>
              <w:adjustRightInd w:val="0"/>
              <w:jc w:val="center"/>
              <w:rPr>
                <w:color w:val="000000" w:themeColor="text1"/>
                <w:szCs w:val="21"/>
              </w:rPr>
            </w:pPr>
            <w:r>
              <w:rPr>
                <w:color w:val="000000" w:themeColor="text1"/>
                <w:szCs w:val="21"/>
              </w:rPr>
              <w:t>围墙</w:t>
            </w:r>
          </w:p>
        </w:tc>
        <w:tc>
          <w:tcPr>
            <w:tcW w:w="950" w:type="dxa"/>
            <w:vAlign w:val="center"/>
          </w:tcPr>
          <w:p>
            <w:pPr>
              <w:autoSpaceDE w:val="0"/>
              <w:autoSpaceDN w:val="0"/>
              <w:adjustRightInd w:val="0"/>
              <w:jc w:val="center"/>
              <w:rPr>
                <w:color w:val="000000" w:themeColor="text1"/>
                <w:szCs w:val="21"/>
              </w:rPr>
            </w:pPr>
            <w:r>
              <w:rPr>
                <w:rFonts w:hint="eastAsia"/>
                <w:color w:val="000000" w:themeColor="text1"/>
                <w:szCs w:val="21"/>
              </w:rPr>
              <w:t>3.9</w:t>
            </w:r>
          </w:p>
        </w:tc>
        <w:tc>
          <w:tcPr>
            <w:tcW w:w="950" w:type="dxa"/>
            <w:vAlign w:val="center"/>
          </w:tcPr>
          <w:p>
            <w:pPr>
              <w:autoSpaceDE w:val="0"/>
              <w:autoSpaceDN w:val="0"/>
              <w:adjustRightInd w:val="0"/>
              <w:jc w:val="center"/>
              <w:rPr>
                <w:b/>
                <w:bCs/>
                <w:color w:val="000000" w:themeColor="text1"/>
                <w:szCs w:val="21"/>
              </w:rPr>
            </w:pPr>
            <w:r>
              <w:rPr>
                <w:rFonts w:hint="eastAsia"/>
                <w:b/>
                <w:bCs/>
                <w:color w:val="000000" w:themeColor="text1"/>
                <w:szCs w:val="21"/>
              </w:rPr>
              <w:t>2</w:t>
            </w:r>
          </w:p>
        </w:tc>
        <w:tc>
          <w:tcPr>
            <w:tcW w:w="2100" w:type="dxa"/>
            <w:vAlign w:val="center"/>
          </w:tcPr>
          <w:p>
            <w:pPr>
              <w:autoSpaceDE w:val="0"/>
              <w:autoSpaceDN w:val="0"/>
              <w:adjustRightInd w:val="0"/>
              <w:jc w:val="center"/>
              <w:rPr>
                <w:color w:val="000000" w:themeColor="text1"/>
                <w:szCs w:val="21"/>
              </w:rPr>
            </w:pPr>
            <w:r>
              <w:rPr>
                <w:color w:val="000000" w:themeColor="text1"/>
                <w:szCs w:val="21"/>
              </w:rPr>
              <w:t>《汽车加油加气</w:t>
            </w:r>
            <w:r>
              <w:rPr>
                <w:rFonts w:hint="eastAsia"/>
                <w:color w:val="000000" w:themeColor="text1"/>
                <w:szCs w:val="21"/>
              </w:rPr>
              <w:t>加氢站技术标准</w:t>
            </w:r>
            <w:r>
              <w:rPr>
                <w:color w:val="000000" w:themeColor="text1"/>
                <w:szCs w:val="21"/>
              </w:rPr>
              <w:t>》（GB50156-2021）中表5.0.13-1</w:t>
            </w:r>
          </w:p>
        </w:tc>
        <w:tc>
          <w:tcPr>
            <w:tcW w:w="883" w:type="dxa"/>
            <w:vAlign w:val="center"/>
          </w:tcPr>
          <w:p>
            <w:pPr>
              <w:autoSpaceDE w:val="0"/>
              <w:autoSpaceDN w:val="0"/>
              <w:adjustRightInd w:val="0"/>
              <w:jc w:val="center"/>
              <w:rPr>
                <w:color w:val="000000" w:themeColor="text1"/>
                <w:szCs w:val="21"/>
              </w:rPr>
            </w:pPr>
            <w:r>
              <w:rPr>
                <w:rFonts w:hint="eastAsia"/>
                <w:color w:val="000000" w:themeColor="text1"/>
                <w:szCs w:val="21"/>
              </w:rPr>
              <w:t>5.9</w:t>
            </w:r>
          </w:p>
        </w:tc>
        <w:tc>
          <w:tcPr>
            <w:tcW w:w="917" w:type="dxa"/>
            <w:vAlign w:val="center"/>
          </w:tcPr>
          <w:p>
            <w:pPr>
              <w:autoSpaceDE w:val="0"/>
              <w:autoSpaceDN w:val="0"/>
              <w:adjustRightInd w:val="0"/>
              <w:jc w:val="center"/>
              <w:rPr>
                <w:b/>
                <w:bCs/>
                <w:color w:val="000000" w:themeColor="text1"/>
                <w:szCs w:val="21"/>
              </w:rPr>
            </w:pPr>
            <w:r>
              <w:rPr>
                <w:rFonts w:hint="eastAsia"/>
                <w:b/>
                <w:bCs/>
                <w:color w:val="000000" w:themeColor="text1"/>
                <w:szCs w:val="21"/>
                <w:lang w:val="en-US" w:eastAsia="zh-CN"/>
              </w:rPr>
              <w:t>-（</w:t>
            </w:r>
            <w:r>
              <w:rPr>
                <w:b/>
                <w:bCs/>
                <w:color w:val="000000" w:themeColor="text1"/>
                <w:szCs w:val="21"/>
              </w:rPr>
              <w:t>2</w:t>
            </w:r>
            <w:r>
              <w:rPr>
                <w:rFonts w:hint="eastAsia"/>
                <w:b/>
                <w:bCs/>
                <w:color w:val="000000" w:themeColor="text1"/>
                <w:szCs w:val="21"/>
                <w:lang w:val="en-US" w:eastAsia="zh-CN"/>
              </w:rPr>
              <w:t>）</w:t>
            </w:r>
          </w:p>
        </w:tc>
        <w:tc>
          <w:tcPr>
            <w:tcW w:w="2170" w:type="dxa"/>
            <w:vAlign w:val="center"/>
          </w:tcPr>
          <w:p>
            <w:pPr>
              <w:autoSpaceDE w:val="0"/>
              <w:autoSpaceDN w:val="0"/>
              <w:adjustRightInd w:val="0"/>
              <w:jc w:val="center"/>
              <w:rPr>
                <w:color w:val="000000" w:themeColor="text1"/>
                <w:szCs w:val="21"/>
              </w:rPr>
            </w:pPr>
            <w:r>
              <w:rPr>
                <w:color w:val="000000" w:themeColor="text1"/>
                <w:szCs w:val="21"/>
              </w:rPr>
              <w:t>《汽车加油加气</w:t>
            </w:r>
            <w:r>
              <w:rPr>
                <w:rFonts w:hint="eastAsia"/>
                <w:color w:val="000000" w:themeColor="text1"/>
                <w:szCs w:val="21"/>
              </w:rPr>
              <w:t>加氢站技术标准</w:t>
            </w:r>
            <w:r>
              <w:rPr>
                <w:color w:val="000000" w:themeColor="text1"/>
                <w:szCs w:val="21"/>
              </w:rPr>
              <w:t>》（GB50156-2021）中表5.0.13-1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Align w:val="center"/>
          </w:tcPr>
          <w:p>
            <w:pPr>
              <w:autoSpaceDE w:val="0"/>
              <w:autoSpaceDN w:val="0"/>
              <w:adjustRightInd w:val="0"/>
              <w:jc w:val="center"/>
              <w:rPr>
                <w:color w:val="000000" w:themeColor="text1"/>
                <w:szCs w:val="21"/>
              </w:rPr>
            </w:pPr>
            <w:r>
              <w:rPr>
                <w:color w:val="000000" w:themeColor="text1"/>
                <w:szCs w:val="21"/>
              </w:rPr>
              <w:t>甲醇罐</w:t>
            </w:r>
          </w:p>
        </w:tc>
        <w:tc>
          <w:tcPr>
            <w:tcW w:w="950" w:type="dxa"/>
            <w:vAlign w:val="center"/>
          </w:tcPr>
          <w:p>
            <w:pPr>
              <w:autoSpaceDE w:val="0"/>
              <w:autoSpaceDN w:val="0"/>
              <w:adjustRightInd w:val="0"/>
              <w:jc w:val="center"/>
              <w:rPr>
                <w:color w:val="000000" w:themeColor="text1"/>
                <w:szCs w:val="21"/>
              </w:rPr>
            </w:pPr>
            <w:r>
              <w:rPr>
                <w:rFonts w:hint="eastAsia"/>
                <w:color w:val="000000" w:themeColor="text1"/>
                <w:szCs w:val="21"/>
              </w:rPr>
              <w:t>0.5</w:t>
            </w:r>
          </w:p>
        </w:tc>
        <w:tc>
          <w:tcPr>
            <w:tcW w:w="950" w:type="dxa"/>
            <w:vAlign w:val="center"/>
          </w:tcPr>
          <w:p>
            <w:pPr>
              <w:autoSpaceDE w:val="0"/>
              <w:autoSpaceDN w:val="0"/>
              <w:adjustRightInd w:val="0"/>
              <w:jc w:val="center"/>
              <w:rPr>
                <w:b/>
                <w:bCs/>
                <w:color w:val="000000" w:themeColor="text1"/>
                <w:szCs w:val="21"/>
              </w:rPr>
            </w:pPr>
            <w:r>
              <w:rPr>
                <w:rFonts w:hint="eastAsia"/>
                <w:b/>
                <w:bCs/>
                <w:color w:val="000000" w:themeColor="text1"/>
                <w:szCs w:val="21"/>
              </w:rPr>
              <w:t>0.5</w:t>
            </w:r>
          </w:p>
        </w:tc>
        <w:tc>
          <w:tcPr>
            <w:tcW w:w="2100" w:type="dxa"/>
            <w:vAlign w:val="center"/>
          </w:tcPr>
          <w:p>
            <w:pPr>
              <w:autoSpaceDE w:val="0"/>
              <w:autoSpaceDN w:val="0"/>
              <w:adjustRightInd w:val="0"/>
              <w:jc w:val="center"/>
              <w:rPr>
                <w:color w:val="000000" w:themeColor="text1"/>
                <w:szCs w:val="21"/>
              </w:rPr>
            </w:pPr>
            <w:r>
              <w:rPr>
                <w:color w:val="000000" w:themeColor="text1"/>
                <w:szCs w:val="21"/>
              </w:rPr>
              <w:t>《汽车加油加气</w:t>
            </w:r>
            <w:r>
              <w:rPr>
                <w:rFonts w:hint="eastAsia"/>
                <w:color w:val="000000" w:themeColor="text1"/>
                <w:szCs w:val="21"/>
              </w:rPr>
              <w:t>加氢站技术标准</w:t>
            </w:r>
            <w:r>
              <w:rPr>
                <w:color w:val="000000" w:themeColor="text1"/>
                <w:szCs w:val="21"/>
              </w:rPr>
              <w:t>》（GB50156-2021）中表5.0.13-1</w:t>
            </w:r>
          </w:p>
        </w:tc>
        <w:tc>
          <w:tcPr>
            <w:tcW w:w="883" w:type="dxa"/>
            <w:vAlign w:val="center"/>
          </w:tcPr>
          <w:p>
            <w:pPr>
              <w:autoSpaceDE w:val="0"/>
              <w:autoSpaceDN w:val="0"/>
              <w:adjustRightInd w:val="0"/>
              <w:jc w:val="center"/>
              <w:rPr>
                <w:color w:val="000000" w:themeColor="text1"/>
                <w:szCs w:val="21"/>
              </w:rPr>
            </w:pPr>
            <w:r>
              <w:rPr>
                <w:color w:val="000000" w:themeColor="text1"/>
                <w:szCs w:val="21"/>
              </w:rPr>
              <w:t>--</w:t>
            </w:r>
          </w:p>
        </w:tc>
        <w:tc>
          <w:tcPr>
            <w:tcW w:w="917" w:type="dxa"/>
            <w:vAlign w:val="center"/>
          </w:tcPr>
          <w:p>
            <w:pPr>
              <w:autoSpaceDE w:val="0"/>
              <w:autoSpaceDN w:val="0"/>
              <w:adjustRightInd w:val="0"/>
              <w:jc w:val="center"/>
              <w:rPr>
                <w:b/>
                <w:bCs/>
                <w:color w:val="000000" w:themeColor="text1"/>
                <w:szCs w:val="21"/>
              </w:rPr>
            </w:pPr>
            <w:r>
              <w:rPr>
                <w:b/>
                <w:bCs/>
                <w:color w:val="000000" w:themeColor="text1"/>
                <w:szCs w:val="21"/>
              </w:rPr>
              <w:t>--</w:t>
            </w:r>
          </w:p>
        </w:tc>
        <w:tc>
          <w:tcPr>
            <w:tcW w:w="2170" w:type="dxa"/>
            <w:vAlign w:val="center"/>
          </w:tcPr>
          <w:p>
            <w:pPr>
              <w:autoSpaceDE w:val="0"/>
              <w:autoSpaceDN w:val="0"/>
              <w:adjustRightInd w:val="0"/>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Align w:val="center"/>
          </w:tcPr>
          <w:p>
            <w:pPr>
              <w:autoSpaceDE w:val="0"/>
              <w:autoSpaceDN w:val="0"/>
              <w:adjustRightInd w:val="0"/>
              <w:jc w:val="center"/>
              <w:rPr>
                <w:color w:val="000000" w:themeColor="text1"/>
                <w:szCs w:val="21"/>
              </w:rPr>
            </w:pPr>
            <w:r>
              <w:rPr>
                <w:color w:val="000000" w:themeColor="text1"/>
                <w:szCs w:val="21"/>
              </w:rPr>
              <w:t>备注</w:t>
            </w:r>
          </w:p>
        </w:tc>
        <w:tc>
          <w:tcPr>
            <w:tcW w:w="7970" w:type="dxa"/>
            <w:gridSpan w:val="6"/>
            <w:vAlign w:val="center"/>
          </w:tcPr>
          <w:p>
            <w:pPr>
              <w:autoSpaceDE w:val="0"/>
              <w:autoSpaceDN w:val="0"/>
              <w:adjustRightInd w:val="0"/>
              <w:jc w:val="left"/>
              <w:rPr>
                <w:color w:val="000000" w:themeColor="text1"/>
                <w:szCs w:val="21"/>
              </w:rPr>
            </w:pPr>
            <w:r>
              <w:rPr>
                <w:color w:val="000000" w:themeColor="text1"/>
                <w:szCs w:val="21"/>
              </w:rPr>
              <w:t>间距起算点：通气管——中心线；储罐——罐外壁；建筑物——最凸出外缘</w:t>
            </w:r>
            <w:r>
              <w:rPr>
                <w:rFonts w:hint="eastAsia"/>
                <w:color w:val="000000" w:themeColor="text1"/>
                <w:szCs w:val="21"/>
              </w:rPr>
              <w:t>；表中“--”表示无防火间距要求，加粗部分为标准值</w:t>
            </w:r>
            <w:r>
              <w:rPr>
                <w:color w:val="000000" w:themeColor="text1"/>
                <w:szCs w:val="21"/>
              </w:rPr>
              <w:t>。</w:t>
            </w:r>
          </w:p>
        </w:tc>
      </w:tr>
      <w:bookmarkEnd w:id="397"/>
    </w:tbl>
    <w:p>
      <w:pPr>
        <w:pStyle w:val="19"/>
        <w:spacing w:afterLines="100" w:line="500" w:lineRule="exact"/>
        <w:jc w:val="center"/>
        <w:rPr>
          <w:rFonts w:hint="eastAsia" w:ascii="楷体_GB2312" w:hAnsi="宋体" w:eastAsia="楷体_GB2312"/>
          <w:color w:val="000000" w:themeColor="text1"/>
          <w:kern w:val="3"/>
          <w:lang w:val="en-US" w:eastAsia="zh-CN"/>
        </w:rPr>
      </w:pPr>
      <w:bookmarkStart w:id="409" w:name="_Toc18912"/>
      <w:bookmarkStart w:id="410" w:name="_Toc11595"/>
      <w:bookmarkStart w:id="411" w:name="_Toc7333"/>
      <w:bookmarkStart w:id="412" w:name="_Toc29557"/>
      <w:bookmarkStart w:id="413" w:name="_Toc8051"/>
      <w:bookmarkStart w:id="414" w:name="_Toc31347"/>
      <w:bookmarkStart w:id="415" w:name="_Toc22933"/>
      <w:bookmarkStart w:id="416" w:name="_Toc3304"/>
      <w:bookmarkStart w:id="417" w:name="_Toc24723"/>
      <w:bookmarkStart w:id="418" w:name="_Toc29934"/>
      <w:r>
        <w:rPr>
          <w:rFonts w:hint="eastAsia" w:ascii="楷体_GB2312" w:hAnsi="宋体" w:eastAsia="楷体_GB2312"/>
          <w:color w:val="000000" w:themeColor="text1"/>
          <w:kern w:val="3"/>
        </w:rPr>
        <w:t>2.</w:t>
      </w:r>
      <w:r>
        <w:rPr>
          <w:rFonts w:hint="eastAsia" w:ascii="楷体_GB2312" w:hAnsi="宋体" w:eastAsia="楷体_GB2312"/>
          <w:color w:val="000000" w:themeColor="text1"/>
          <w:kern w:val="3"/>
          <w:lang w:val="en-US" w:eastAsia="zh-CN"/>
        </w:rPr>
        <w:t>4</w:t>
      </w:r>
      <w:r>
        <w:rPr>
          <w:rFonts w:hint="eastAsia" w:ascii="楷体_GB2312" w:hAnsi="宋体" w:eastAsia="楷体_GB2312"/>
          <w:color w:val="000000" w:themeColor="text1"/>
          <w:kern w:val="3"/>
        </w:rPr>
        <w:t>运输</w:t>
      </w:r>
      <w:bookmarkEnd w:id="409"/>
      <w:bookmarkEnd w:id="410"/>
      <w:bookmarkEnd w:id="411"/>
      <w:bookmarkEnd w:id="412"/>
      <w:bookmarkEnd w:id="413"/>
      <w:bookmarkEnd w:id="414"/>
      <w:bookmarkEnd w:id="415"/>
      <w:bookmarkEnd w:id="416"/>
      <w:bookmarkEnd w:id="417"/>
      <w:bookmarkEnd w:id="418"/>
      <w:r>
        <w:rPr>
          <w:rFonts w:hint="eastAsia" w:ascii="楷体_GB2312" w:hAnsi="宋体" w:eastAsia="楷体_GB2312"/>
          <w:color w:val="000000" w:themeColor="text1"/>
          <w:kern w:val="3"/>
          <w:lang w:val="en-US" w:eastAsia="zh-CN"/>
        </w:rPr>
        <w:t>及</w:t>
      </w:r>
      <w:r>
        <w:rPr>
          <w:rFonts w:hint="eastAsia" w:ascii="楷体_GB2312" w:hAnsi="宋体" w:eastAsia="楷体_GB2312"/>
          <w:color w:val="000000" w:themeColor="text1"/>
          <w:kern w:val="3"/>
        </w:rPr>
        <w:t>原辅料及产品</w:t>
      </w:r>
    </w:p>
    <w:p>
      <w:pPr>
        <w:adjustRightInd w:val="0"/>
        <w:spacing w:line="500" w:lineRule="exact"/>
        <w:ind w:firstLine="576" w:firstLineChars="206"/>
        <w:rPr>
          <w:color w:val="000000" w:themeColor="text1"/>
          <w:sz w:val="28"/>
          <w:szCs w:val="28"/>
        </w:rPr>
      </w:pPr>
      <w:r>
        <w:rPr>
          <w:color w:val="000000" w:themeColor="text1"/>
          <w:sz w:val="28"/>
          <w:szCs w:val="28"/>
        </w:rPr>
        <w:t>1</w:t>
      </w:r>
      <w:r>
        <w:rPr>
          <w:rFonts w:hint="eastAsia"/>
          <w:color w:val="000000" w:themeColor="text1"/>
          <w:sz w:val="28"/>
          <w:szCs w:val="28"/>
        </w:rPr>
        <w:t>.</w:t>
      </w:r>
      <w:r>
        <w:rPr>
          <w:color w:val="000000" w:themeColor="text1"/>
          <w:sz w:val="28"/>
          <w:szCs w:val="28"/>
        </w:rPr>
        <w:t>外部运输：外购甲醇</w:t>
      </w:r>
      <w:r>
        <w:rPr>
          <w:rFonts w:hint="eastAsia"/>
          <w:color w:val="000000" w:themeColor="text1"/>
          <w:sz w:val="28"/>
          <w:szCs w:val="28"/>
        </w:rPr>
        <w:t>（</w:t>
      </w:r>
      <w:r>
        <w:rPr>
          <w:rFonts w:hint="eastAsia"/>
          <w:color w:val="000000" w:themeColor="text1"/>
          <w:sz w:val="28"/>
          <w:szCs w:val="28"/>
          <w:lang w:val="en-US" w:eastAsia="zh-CN"/>
        </w:rPr>
        <w:t>向云南先锋化工有限公司</w:t>
      </w:r>
      <w:r>
        <w:rPr>
          <w:rFonts w:hint="eastAsia"/>
          <w:color w:val="000000" w:themeColor="text1"/>
          <w:sz w:val="28"/>
          <w:szCs w:val="28"/>
        </w:rPr>
        <w:t>采购）</w:t>
      </w:r>
      <w:r>
        <w:rPr>
          <w:color w:val="000000" w:themeColor="text1"/>
          <w:sz w:val="28"/>
          <w:szCs w:val="28"/>
        </w:rPr>
        <w:t>，外购时由</w:t>
      </w:r>
      <w:r>
        <w:rPr>
          <w:rFonts w:hint="eastAsia"/>
          <w:color w:val="000000" w:themeColor="text1"/>
          <w:sz w:val="28"/>
          <w:szCs w:val="28"/>
          <w:lang w:val="en-US" w:eastAsia="zh-CN"/>
        </w:rPr>
        <w:t>云南先锋化工有限公司</w:t>
      </w:r>
      <w:r>
        <w:rPr>
          <w:color w:val="000000" w:themeColor="text1"/>
          <w:sz w:val="28"/>
          <w:szCs w:val="28"/>
        </w:rPr>
        <w:t>委托有危险化学品运输资质的单位负责运输至厂内卸入甲醇储罐；外销时，由</w:t>
      </w:r>
      <w:r>
        <w:rPr>
          <w:rFonts w:hint="eastAsia"/>
          <w:color w:val="000000" w:themeColor="text1"/>
          <w:sz w:val="28"/>
          <w:szCs w:val="28"/>
        </w:rPr>
        <w:t>昭通市耀晨甲醇醇油有限公司</w:t>
      </w:r>
      <w:r>
        <w:rPr>
          <w:rFonts w:hint="eastAsia"/>
          <w:color w:val="000000" w:themeColor="text1"/>
          <w:sz w:val="28"/>
          <w:szCs w:val="28"/>
          <w:lang w:val="en-US" w:eastAsia="zh-CN"/>
        </w:rPr>
        <w:t>分装</w:t>
      </w:r>
      <w:r>
        <w:rPr>
          <w:rFonts w:hint="eastAsia"/>
          <w:color w:val="000000" w:themeColor="text1"/>
          <w:sz w:val="28"/>
          <w:szCs w:val="28"/>
        </w:rPr>
        <w:t>成25kg/桶后</w:t>
      </w:r>
      <w:r>
        <w:rPr>
          <w:color w:val="000000" w:themeColor="text1"/>
          <w:sz w:val="28"/>
          <w:szCs w:val="28"/>
        </w:rPr>
        <w:t>运送至用户。</w:t>
      </w:r>
    </w:p>
    <w:p>
      <w:pPr>
        <w:adjustRightInd w:val="0"/>
        <w:spacing w:line="500" w:lineRule="exact"/>
        <w:ind w:firstLine="576" w:firstLineChars="206"/>
        <w:rPr>
          <w:snapToGrid w:val="0"/>
          <w:color w:val="000000" w:themeColor="text1"/>
          <w:kern w:val="0"/>
          <w:sz w:val="28"/>
          <w:szCs w:val="28"/>
        </w:rPr>
      </w:pPr>
      <w:r>
        <w:rPr>
          <w:color w:val="000000" w:themeColor="text1"/>
          <w:sz w:val="28"/>
          <w:szCs w:val="28"/>
        </w:rPr>
        <w:t>2</w:t>
      </w:r>
      <w:r>
        <w:rPr>
          <w:rFonts w:hint="eastAsia"/>
          <w:color w:val="000000" w:themeColor="text1"/>
          <w:sz w:val="28"/>
          <w:szCs w:val="28"/>
        </w:rPr>
        <w:t>.</w:t>
      </w:r>
      <w:r>
        <w:rPr>
          <w:color w:val="000000" w:themeColor="text1"/>
          <w:sz w:val="28"/>
          <w:szCs w:val="28"/>
        </w:rPr>
        <w:t>内部运输：甲醇卸车、储存及分装过程中均通过工艺管道进行输送。</w:t>
      </w:r>
    </w:p>
    <w:p>
      <w:pPr>
        <w:adjustRightInd w:val="0"/>
        <w:spacing w:line="500" w:lineRule="exact"/>
        <w:ind w:firstLine="576" w:firstLineChars="206"/>
        <w:rPr>
          <w:rFonts w:hint="eastAsia" w:eastAsia="宋体"/>
          <w:color w:val="000000" w:themeColor="text1"/>
          <w:sz w:val="28"/>
          <w:szCs w:val="28"/>
          <w:lang w:eastAsia="zh-CN"/>
        </w:rPr>
      </w:pPr>
      <w:bookmarkStart w:id="419" w:name="_Toc23962"/>
      <w:bookmarkStart w:id="420" w:name="_Toc9088"/>
      <w:bookmarkStart w:id="421" w:name="_Toc2212"/>
      <w:bookmarkStart w:id="422" w:name="_Toc217444171"/>
      <w:bookmarkStart w:id="423" w:name="_Toc11972"/>
      <w:bookmarkStart w:id="424" w:name="_Toc18974"/>
      <w:bookmarkStart w:id="425" w:name="_Toc29006"/>
      <w:r>
        <w:rPr>
          <w:rFonts w:hint="eastAsia"/>
          <w:color w:val="000000" w:themeColor="text1"/>
          <w:sz w:val="28"/>
          <w:szCs w:val="28"/>
          <w:lang w:val="en-US" w:eastAsia="zh-CN"/>
        </w:rPr>
        <w:t>3.</w:t>
      </w:r>
      <w:r>
        <w:rPr>
          <w:color w:val="000000" w:themeColor="text1"/>
          <w:sz w:val="28"/>
          <w:szCs w:val="28"/>
        </w:rPr>
        <w:t>主要原料：甲醇</w:t>
      </w:r>
      <w:bookmarkEnd w:id="419"/>
      <w:bookmarkEnd w:id="420"/>
      <w:bookmarkEnd w:id="421"/>
      <w:r>
        <w:rPr>
          <w:rFonts w:hint="eastAsia"/>
          <w:color w:val="000000" w:themeColor="text1"/>
          <w:sz w:val="28"/>
          <w:szCs w:val="28"/>
          <w:lang w:eastAsia="zh-CN"/>
        </w:rPr>
        <w:t>。</w:t>
      </w:r>
    </w:p>
    <w:p>
      <w:pPr>
        <w:adjustRightInd w:val="0"/>
        <w:spacing w:line="500" w:lineRule="exact"/>
        <w:ind w:firstLine="576" w:firstLineChars="206"/>
        <w:rPr>
          <w:rFonts w:hint="eastAsia" w:eastAsia="宋体"/>
          <w:color w:val="000000" w:themeColor="text1"/>
          <w:sz w:val="28"/>
          <w:szCs w:val="28"/>
          <w:lang w:eastAsia="zh-CN"/>
        </w:rPr>
      </w:pPr>
      <w:bookmarkStart w:id="426" w:name="_Toc29249"/>
      <w:bookmarkStart w:id="427" w:name="_Toc32623"/>
      <w:bookmarkStart w:id="428" w:name="_Toc6284"/>
      <w:r>
        <w:rPr>
          <w:rFonts w:hint="eastAsia"/>
          <w:color w:val="000000" w:themeColor="text1"/>
          <w:sz w:val="28"/>
          <w:szCs w:val="28"/>
          <w:lang w:val="en-US" w:eastAsia="zh-CN"/>
        </w:rPr>
        <w:t>4</w:t>
      </w:r>
      <w:r>
        <w:rPr>
          <w:color w:val="000000" w:themeColor="text1"/>
          <w:sz w:val="28"/>
          <w:szCs w:val="28"/>
        </w:rPr>
        <w:t>.主要产品：甲醇25kg/桶</w:t>
      </w:r>
      <w:bookmarkEnd w:id="426"/>
      <w:bookmarkEnd w:id="427"/>
      <w:bookmarkEnd w:id="428"/>
      <w:r>
        <w:rPr>
          <w:rFonts w:hint="eastAsia"/>
          <w:color w:val="000000" w:themeColor="text1"/>
          <w:sz w:val="28"/>
          <w:szCs w:val="28"/>
          <w:lang w:eastAsia="zh-CN"/>
        </w:rPr>
        <w:t>。</w:t>
      </w:r>
    </w:p>
    <w:p>
      <w:pPr>
        <w:pStyle w:val="19"/>
        <w:spacing w:afterLines="100" w:line="500" w:lineRule="exact"/>
        <w:jc w:val="center"/>
        <w:rPr>
          <w:rFonts w:ascii="楷体_GB2312" w:hAnsi="宋体" w:eastAsia="楷体_GB2312"/>
          <w:color w:val="000000" w:themeColor="text1"/>
          <w:kern w:val="3"/>
        </w:rPr>
      </w:pPr>
      <w:bookmarkStart w:id="429" w:name="_Toc28620"/>
      <w:bookmarkStart w:id="430" w:name="_Toc10936"/>
      <w:bookmarkStart w:id="431" w:name="_Toc13643"/>
      <w:bookmarkStart w:id="432" w:name="_Toc17823"/>
      <w:bookmarkStart w:id="433" w:name="_Toc6042"/>
      <w:bookmarkStart w:id="434" w:name="_Toc5637"/>
      <w:bookmarkStart w:id="435" w:name="_Toc18234"/>
      <w:bookmarkStart w:id="436" w:name="_Toc13860"/>
      <w:bookmarkStart w:id="437" w:name="_Toc5757"/>
      <w:bookmarkStart w:id="438" w:name="_Toc2160"/>
      <w:bookmarkStart w:id="439" w:name="_Toc843"/>
      <w:bookmarkStart w:id="440" w:name="_Toc6827"/>
      <w:bookmarkStart w:id="441" w:name="_Toc28509"/>
      <w:bookmarkStart w:id="442" w:name="_Toc7343_WPSOffice_Level2"/>
      <w:r>
        <w:rPr>
          <w:rFonts w:hint="eastAsia" w:ascii="楷体_GB2312" w:hAnsi="宋体" w:eastAsia="楷体_GB2312"/>
          <w:color w:val="000000" w:themeColor="text1"/>
          <w:kern w:val="3"/>
        </w:rPr>
        <w:t>2.</w:t>
      </w:r>
      <w:bookmarkEnd w:id="422"/>
      <w:bookmarkEnd w:id="423"/>
      <w:r>
        <w:rPr>
          <w:rFonts w:hint="eastAsia" w:ascii="楷体_GB2312" w:hAnsi="宋体" w:eastAsia="楷体_GB2312"/>
          <w:color w:val="000000" w:themeColor="text1"/>
          <w:kern w:val="3"/>
        </w:rPr>
        <w:t>5工艺简介</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bookmarkEnd w:id="424"/>
    <w:bookmarkEnd w:id="425"/>
    <w:p>
      <w:pPr>
        <w:pStyle w:val="19"/>
        <w:spacing w:afterLines="100" w:line="500" w:lineRule="exact"/>
        <w:rPr>
          <w:rFonts w:ascii="黑体" w:hAnsi="宋体" w:eastAsia="黑体"/>
          <w:color w:val="000000" w:themeColor="text1"/>
          <w:kern w:val="3"/>
          <w:sz w:val="28"/>
          <w:szCs w:val="28"/>
        </w:rPr>
      </w:pPr>
      <w:bookmarkStart w:id="443" w:name="_Toc28917"/>
      <w:bookmarkStart w:id="444" w:name="_Toc24103"/>
      <w:bookmarkStart w:id="445" w:name="_Toc9706"/>
      <w:bookmarkStart w:id="446" w:name="_Toc11668"/>
      <w:bookmarkStart w:id="447" w:name="_Toc10077"/>
      <w:bookmarkStart w:id="448" w:name="_Toc32514"/>
      <w:bookmarkStart w:id="449" w:name="_Toc18189"/>
      <w:bookmarkStart w:id="450" w:name="_Toc9589"/>
      <w:bookmarkStart w:id="451" w:name="_Toc16791"/>
      <w:bookmarkStart w:id="452" w:name="_Toc26041"/>
      <w:bookmarkStart w:id="453" w:name="_Toc217444173"/>
      <w:bookmarkStart w:id="454" w:name="_Toc20314"/>
      <w:r>
        <w:rPr>
          <w:rFonts w:hint="eastAsia" w:ascii="黑体" w:hAnsi="宋体" w:eastAsia="黑体"/>
          <w:color w:val="000000" w:themeColor="text1"/>
          <w:kern w:val="3"/>
          <w:sz w:val="28"/>
          <w:szCs w:val="28"/>
        </w:rPr>
        <w:t>2.5.1卸车工艺</w:t>
      </w:r>
      <w:bookmarkEnd w:id="443"/>
      <w:bookmarkEnd w:id="444"/>
      <w:bookmarkEnd w:id="445"/>
      <w:bookmarkEnd w:id="446"/>
      <w:bookmarkEnd w:id="447"/>
      <w:bookmarkEnd w:id="448"/>
      <w:bookmarkEnd w:id="449"/>
      <w:bookmarkEnd w:id="450"/>
      <w:bookmarkEnd w:id="451"/>
      <w:bookmarkEnd w:id="452"/>
      <w:bookmarkStart w:id="455" w:name="_Toc505071577"/>
      <w:bookmarkStart w:id="456" w:name="_Toc462060940"/>
      <w:bookmarkStart w:id="457" w:name="_Toc460505411"/>
      <w:bookmarkStart w:id="458" w:name="_Toc470767422"/>
      <w:bookmarkStart w:id="459" w:name="_Toc444862036"/>
      <w:bookmarkStart w:id="460" w:name="_Toc460504637"/>
      <w:bookmarkStart w:id="461" w:name="_Toc460505272"/>
      <w:bookmarkStart w:id="462" w:name="_Toc505070192"/>
    </w:p>
    <w:bookmarkEnd w:id="455"/>
    <w:bookmarkEnd w:id="456"/>
    <w:bookmarkEnd w:id="457"/>
    <w:bookmarkEnd w:id="458"/>
    <w:bookmarkEnd w:id="459"/>
    <w:bookmarkEnd w:id="460"/>
    <w:bookmarkEnd w:id="461"/>
    <w:bookmarkEnd w:id="462"/>
    <w:p>
      <w:pPr>
        <w:adjustRightInd w:val="0"/>
        <w:snapToGrid w:val="0"/>
        <w:spacing w:line="500" w:lineRule="exact"/>
        <w:ind w:firstLine="560" w:firstLineChars="200"/>
        <w:rPr>
          <w:bCs/>
          <w:color w:val="000000" w:themeColor="text1"/>
          <w:sz w:val="28"/>
          <w:szCs w:val="28"/>
        </w:rPr>
      </w:pPr>
      <w:r>
        <w:rPr>
          <w:bCs/>
          <w:color w:val="000000" w:themeColor="text1"/>
          <w:sz w:val="28"/>
          <w:szCs w:val="28"/>
        </w:rPr>
        <w:t>甲醇卸车时采用密闭卸车口，不卸车时，将卸车口上锁，只在卸甲醇时才将其打开。具体程序如下：</w:t>
      </w:r>
    </w:p>
    <w:p>
      <w:pPr>
        <w:adjustRightInd w:val="0"/>
        <w:snapToGrid w:val="0"/>
        <w:spacing w:line="500" w:lineRule="exact"/>
        <w:ind w:firstLine="560" w:firstLineChars="200"/>
        <w:rPr>
          <w:bCs/>
          <w:color w:val="000000" w:themeColor="text1"/>
          <w:sz w:val="28"/>
          <w:szCs w:val="28"/>
        </w:rPr>
      </w:pPr>
      <w:bookmarkStart w:id="463" w:name="_Toc2031"/>
      <w:bookmarkStart w:id="464" w:name="_Toc9419"/>
      <w:r>
        <w:rPr>
          <w:bCs/>
          <w:color w:val="000000" w:themeColor="text1"/>
          <w:sz w:val="28"/>
          <w:szCs w:val="28"/>
        </w:rPr>
        <w:t>1.准备</w:t>
      </w:r>
      <w:bookmarkEnd w:id="463"/>
      <w:bookmarkEnd w:id="464"/>
    </w:p>
    <w:p>
      <w:pPr>
        <w:adjustRightInd w:val="0"/>
        <w:snapToGrid w:val="0"/>
        <w:spacing w:line="500" w:lineRule="exact"/>
        <w:ind w:firstLine="560" w:firstLineChars="200"/>
        <w:rPr>
          <w:bCs/>
          <w:color w:val="000000" w:themeColor="text1"/>
          <w:sz w:val="28"/>
          <w:szCs w:val="28"/>
        </w:rPr>
      </w:pPr>
      <w:r>
        <w:rPr>
          <w:bCs/>
          <w:color w:val="000000" w:themeColor="text1"/>
          <w:sz w:val="28"/>
          <w:szCs w:val="28"/>
        </w:rPr>
        <w:t>送甲醇的罐车到公司后，卸车员检测甲醇罐车安全设施是否齐全有效，引导罐车到卸车口。按规定备好消防器材，接好静电接地装置，将罐车静置</w:t>
      </w:r>
      <w:r>
        <w:rPr>
          <w:rFonts w:hint="eastAsia"/>
          <w:bCs/>
          <w:color w:val="000000" w:themeColor="text1"/>
          <w:sz w:val="28"/>
          <w:szCs w:val="28"/>
          <w:lang w:val="en-US" w:eastAsia="zh-CN"/>
        </w:rPr>
        <w:t>5</w:t>
      </w:r>
      <w:r>
        <w:rPr>
          <w:bCs/>
          <w:color w:val="000000" w:themeColor="text1"/>
          <w:sz w:val="28"/>
          <w:szCs w:val="28"/>
        </w:rPr>
        <w:t>min后准备接卸。</w:t>
      </w:r>
    </w:p>
    <w:p>
      <w:pPr>
        <w:adjustRightInd w:val="0"/>
        <w:snapToGrid w:val="0"/>
        <w:spacing w:line="500" w:lineRule="exact"/>
        <w:ind w:firstLine="560" w:firstLineChars="200"/>
        <w:rPr>
          <w:bCs/>
          <w:color w:val="000000" w:themeColor="text1"/>
          <w:sz w:val="28"/>
          <w:szCs w:val="28"/>
        </w:rPr>
      </w:pPr>
      <w:bookmarkStart w:id="465" w:name="_Toc15911"/>
      <w:bookmarkStart w:id="466" w:name="_Toc18272"/>
      <w:r>
        <w:rPr>
          <w:bCs/>
          <w:color w:val="000000" w:themeColor="text1"/>
          <w:sz w:val="28"/>
          <w:szCs w:val="28"/>
        </w:rPr>
        <w:t>2.验收</w:t>
      </w:r>
      <w:bookmarkEnd w:id="465"/>
      <w:bookmarkEnd w:id="466"/>
    </w:p>
    <w:p>
      <w:pPr>
        <w:adjustRightInd w:val="0"/>
        <w:snapToGrid w:val="0"/>
        <w:spacing w:line="500" w:lineRule="exact"/>
        <w:ind w:firstLine="560" w:firstLineChars="200"/>
        <w:rPr>
          <w:bCs/>
          <w:color w:val="000000" w:themeColor="text1"/>
          <w:sz w:val="28"/>
          <w:szCs w:val="28"/>
        </w:rPr>
      </w:pPr>
      <w:r>
        <w:rPr>
          <w:bCs/>
          <w:color w:val="000000" w:themeColor="text1"/>
          <w:sz w:val="28"/>
          <w:szCs w:val="28"/>
        </w:rPr>
        <w:t>公司内卸车员会同驾驶员核对甲醇罐车交运单记载的数量，检查确认罐车铅封是否完好；逐项填写进公司甲醇核对单，由驾驶员、卸车员双方签字确认实收数量。</w:t>
      </w:r>
    </w:p>
    <w:p>
      <w:pPr>
        <w:adjustRightInd w:val="0"/>
        <w:snapToGrid w:val="0"/>
        <w:spacing w:line="500" w:lineRule="exact"/>
        <w:ind w:firstLine="560" w:firstLineChars="200"/>
        <w:rPr>
          <w:bCs/>
          <w:color w:val="000000" w:themeColor="text1"/>
          <w:sz w:val="28"/>
          <w:szCs w:val="28"/>
        </w:rPr>
      </w:pPr>
      <w:bookmarkStart w:id="467" w:name="_Toc14374"/>
      <w:bookmarkStart w:id="468" w:name="_Toc19970"/>
      <w:r>
        <w:rPr>
          <w:bCs/>
          <w:color w:val="000000" w:themeColor="text1"/>
          <w:sz w:val="28"/>
          <w:szCs w:val="28"/>
        </w:rPr>
        <w:t>3.卸车</w:t>
      </w:r>
      <w:bookmarkEnd w:id="467"/>
      <w:bookmarkEnd w:id="468"/>
    </w:p>
    <w:p>
      <w:pPr>
        <w:adjustRightInd w:val="0"/>
        <w:snapToGrid w:val="0"/>
        <w:spacing w:line="500" w:lineRule="exact"/>
        <w:ind w:firstLine="560" w:firstLineChars="200"/>
        <w:rPr>
          <w:bCs/>
          <w:color w:val="000000" w:themeColor="text1"/>
          <w:sz w:val="28"/>
          <w:szCs w:val="28"/>
        </w:rPr>
      </w:pPr>
      <w:r>
        <w:rPr>
          <w:bCs/>
          <w:color w:val="000000" w:themeColor="text1"/>
          <w:sz w:val="28"/>
          <w:szCs w:val="28"/>
        </w:rPr>
        <w:t>（1）核对甲醇罐与罐车所装品种是否是甲醇；</w:t>
      </w:r>
    </w:p>
    <w:p>
      <w:pPr>
        <w:adjustRightInd w:val="0"/>
        <w:snapToGrid w:val="0"/>
        <w:spacing w:line="500" w:lineRule="exact"/>
        <w:ind w:firstLine="560" w:firstLineChars="200"/>
        <w:rPr>
          <w:bCs/>
          <w:color w:val="000000" w:themeColor="text1"/>
          <w:sz w:val="28"/>
          <w:szCs w:val="28"/>
        </w:rPr>
      </w:pPr>
      <w:r>
        <w:rPr>
          <w:bCs/>
          <w:color w:val="000000" w:themeColor="text1"/>
          <w:sz w:val="28"/>
          <w:szCs w:val="28"/>
        </w:rPr>
        <w:t>（2）通过高液位报警装置确认甲醇罐的空容量，防止跑、冒甲醇事故发生；甲醇罐车接静电接地线，然后连接卸车管，做到与接头结合紧密；</w:t>
      </w:r>
    </w:p>
    <w:p>
      <w:pPr>
        <w:adjustRightInd w:val="0"/>
        <w:snapToGrid w:val="0"/>
        <w:spacing w:line="500" w:lineRule="exact"/>
        <w:ind w:firstLine="560" w:firstLineChars="200"/>
        <w:rPr>
          <w:bCs/>
          <w:color w:val="000000" w:themeColor="text1"/>
          <w:sz w:val="28"/>
          <w:szCs w:val="28"/>
        </w:rPr>
      </w:pPr>
      <w:r>
        <w:rPr>
          <w:bCs/>
          <w:color w:val="000000" w:themeColor="text1"/>
          <w:sz w:val="28"/>
          <w:szCs w:val="28"/>
        </w:rPr>
        <w:t>（3）驾驶员缓慢开启卸车阀门，卸车员密切监视、观察卸车管线、相关阀门等设施运行情况，随时准备处理可能发生的情况；</w:t>
      </w:r>
    </w:p>
    <w:p>
      <w:pPr>
        <w:adjustRightInd w:val="0"/>
        <w:snapToGrid w:val="0"/>
        <w:spacing w:line="500" w:lineRule="exact"/>
        <w:ind w:firstLine="560" w:firstLineChars="200"/>
        <w:rPr>
          <w:bCs/>
          <w:color w:val="000000" w:themeColor="text1"/>
          <w:sz w:val="28"/>
          <w:szCs w:val="28"/>
        </w:rPr>
      </w:pPr>
      <w:r>
        <w:rPr>
          <w:bCs/>
          <w:color w:val="000000" w:themeColor="text1"/>
          <w:sz w:val="28"/>
          <w:szCs w:val="28"/>
        </w:rPr>
        <w:t>（4）卸车完毕，先关闭罐车卸车阀门，再拆除卸车管线；</w:t>
      </w:r>
    </w:p>
    <w:p>
      <w:pPr>
        <w:adjustRightInd w:val="0"/>
        <w:snapToGrid w:val="0"/>
        <w:spacing w:line="500" w:lineRule="exact"/>
        <w:ind w:firstLine="560" w:firstLineChars="200"/>
        <w:rPr>
          <w:bCs/>
          <w:color w:val="000000" w:themeColor="text1"/>
          <w:sz w:val="28"/>
          <w:szCs w:val="28"/>
        </w:rPr>
      </w:pPr>
      <w:r>
        <w:rPr>
          <w:bCs/>
          <w:color w:val="000000" w:themeColor="text1"/>
          <w:sz w:val="28"/>
          <w:szCs w:val="28"/>
        </w:rPr>
        <w:t>（5）引导甲醇罐车出公司。</w:t>
      </w:r>
    </w:p>
    <w:p>
      <w:pPr>
        <w:adjustRightInd w:val="0"/>
        <w:snapToGrid w:val="0"/>
        <w:spacing w:line="500" w:lineRule="exact"/>
        <w:ind w:firstLine="560" w:firstLineChars="200"/>
        <w:rPr>
          <w:bCs/>
          <w:color w:val="000000" w:themeColor="text1"/>
          <w:sz w:val="28"/>
          <w:szCs w:val="28"/>
        </w:rPr>
      </w:pPr>
      <w:bookmarkStart w:id="469" w:name="_Toc19181"/>
      <w:bookmarkStart w:id="470" w:name="_Toc15713"/>
      <w:r>
        <w:rPr>
          <w:bCs/>
          <w:color w:val="000000" w:themeColor="text1"/>
          <w:sz w:val="28"/>
          <w:szCs w:val="28"/>
        </w:rPr>
        <w:t>4.卸后工作</w:t>
      </w:r>
      <w:bookmarkEnd w:id="469"/>
      <w:bookmarkEnd w:id="470"/>
    </w:p>
    <w:p>
      <w:pPr>
        <w:adjustRightInd w:val="0"/>
        <w:snapToGrid w:val="0"/>
        <w:spacing w:line="500" w:lineRule="exact"/>
        <w:ind w:firstLine="560" w:firstLineChars="200"/>
        <w:rPr>
          <w:bCs/>
          <w:color w:val="000000" w:themeColor="text1"/>
          <w:sz w:val="28"/>
          <w:szCs w:val="28"/>
        </w:rPr>
      </w:pPr>
      <w:r>
        <w:rPr>
          <w:bCs/>
          <w:color w:val="000000" w:themeColor="text1"/>
          <w:sz w:val="28"/>
          <w:szCs w:val="28"/>
        </w:rPr>
        <w:t>（1）将消防器材放回原位，整理好现场；</w:t>
      </w:r>
    </w:p>
    <w:p>
      <w:pPr>
        <w:adjustRightInd w:val="0"/>
        <w:snapToGrid w:val="0"/>
        <w:spacing w:line="500" w:lineRule="exact"/>
        <w:ind w:firstLine="560" w:firstLineChars="200"/>
        <w:rPr>
          <w:bCs/>
          <w:color w:val="000000" w:themeColor="text1"/>
          <w:sz w:val="28"/>
          <w:szCs w:val="28"/>
        </w:rPr>
      </w:pPr>
      <w:r>
        <w:rPr>
          <w:bCs/>
          <w:color w:val="000000" w:themeColor="text1"/>
          <w:sz w:val="28"/>
          <w:szCs w:val="28"/>
        </w:rPr>
        <w:t>（2）根据进公司甲醇核对单及甲醇交运单，填写进货验收登记表。</w:t>
      </w:r>
    </w:p>
    <w:p>
      <w:pPr>
        <w:pStyle w:val="19"/>
        <w:spacing w:afterLines="100" w:line="500" w:lineRule="exact"/>
        <w:rPr>
          <w:rFonts w:ascii="黑体" w:hAnsi="宋体" w:eastAsia="黑体"/>
          <w:color w:val="000000" w:themeColor="text1"/>
          <w:kern w:val="3"/>
          <w:sz w:val="28"/>
          <w:szCs w:val="28"/>
        </w:rPr>
      </w:pPr>
      <w:bookmarkStart w:id="471" w:name="_Toc31385"/>
      <w:bookmarkStart w:id="472" w:name="_Toc26135"/>
      <w:bookmarkStart w:id="473" w:name="_Toc20911"/>
      <w:bookmarkStart w:id="474" w:name="_Toc17058"/>
      <w:r>
        <w:rPr>
          <w:rFonts w:hint="eastAsia" w:ascii="黑体" w:hAnsi="宋体" w:eastAsia="黑体"/>
          <w:color w:val="000000" w:themeColor="text1"/>
          <w:kern w:val="3"/>
          <w:sz w:val="28"/>
          <w:szCs w:val="28"/>
        </w:rPr>
        <w:t>2.5.2 储存工艺</w:t>
      </w:r>
      <w:bookmarkEnd w:id="471"/>
      <w:bookmarkEnd w:id="472"/>
      <w:bookmarkEnd w:id="473"/>
      <w:bookmarkEnd w:id="474"/>
    </w:p>
    <w:p>
      <w:pPr>
        <w:adjustRightInd w:val="0"/>
        <w:snapToGrid w:val="0"/>
        <w:spacing w:line="500" w:lineRule="exact"/>
        <w:ind w:firstLine="560" w:firstLineChars="200"/>
        <w:rPr>
          <w:bCs/>
          <w:color w:val="000000" w:themeColor="text1"/>
          <w:sz w:val="28"/>
          <w:szCs w:val="28"/>
        </w:rPr>
      </w:pPr>
      <w:r>
        <w:rPr>
          <w:bCs/>
          <w:color w:val="000000" w:themeColor="text1"/>
          <w:sz w:val="28"/>
          <w:szCs w:val="28"/>
        </w:rPr>
        <w:t>甲醇经卸车管道送至储罐储存，然后经</w:t>
      </w:r>
      <w:r>
        <w:rPr>
          <w:rFonts w:hint="eastAsia"/>
          <w:bCs/>
          <w:color w:val="000000" w:themeColor="text1"/>
          <w:sz w:val="28"/>
          <w:szCs w:val="28"/>
        </w:rPr>
        <w:t>加注机进行分装加注</w:t>
      </w:r>
      <w:r>
        <w:rPr>
          <w:bCs/>
          <w:color w:val="000000" w:themeColor="text1"/>
          <w:sz w:val="28"/>
          <w:szCs w:val="28"/>
        </w:rPr>
        <w:t>。</w:t>
      </w:r>
    </w:p>
    <w:p>
      <w:pPr>
        <w:pStyle w:val="19"/>
        <w:spacing w:afterLines="100" w:line="500" w:lineRule="exact"/>
        <w:rPr>
          <w:rFonts w:ascii="黑体" w:hAnsi="宋体" w:eastAsia="黑体"/>
          <w:color w:val="000000" w:themeColor="text1"/>
          <w:kern w:val="3"/>
          <w:sz w:val="28"/>
          <w:szCs w:val="28"/>
        </w:rPr>
      </w:pPr>
      <w:bookmarkStart w:id="475" w:name="_Toc7498"/>
      <w:bookmarkStart w:id="476" w:name="_Toc278"/>
      <w:bookmarkStart w:id="477" w:name="_Toc27989"/>
      <w:bookmarkStart w:id="478" w:name="_Toc23292"/>
      <w:r>
        <w:rPr>
          <w:rFonts w:hint="eastAsia" w:ascii="黑体" w:hAnsi="宋体" w:eastAsia="黑体"/>
          <w:color w:val="000000" w:themeColor="text1"/>
          <w:kern w:val="3"/>
          <w:sz w:val="28"/>
          <w:szCs w:val="28"/>
        </w:rPr>
        <w:t>2.5.3甲醇分装工艺</w:t>
      </w:r>
      <w:bookmarkEnd w:id="475"/>
      <w:bookmarkEnd w:id="476"/>
      <w:bookmarkEnd w:id="477"/>
      <w:bookmarkEnd w:id="478"/>
    </w:p>
    <w:p>
      <w:pPr>
        <w:adjustRightInd w:val="0"/>
        <w:snapToGrid w:val="0"/>
        <w:spacing w:line="500" w:lineRule="exact"/>
        <w:ind w:firstLine="560" w:firstLineChars="200"/>
        <w:rPr>
          <w:bCs/>
          <w:color w:val="000000" w:themeColor="text1"/>
          <w:sz w:val="28"/>
          <w:szCs w:val="28"/>
        </w:rPr>
      </w:pPr>
      <w:r>
        <w:rPr>
          <w:bCs/>
          <w:color w:val="000000" w:themeColor="text1"/>
          <w:sz w:val="28"/>
          <w:szCs w:val="28"/>
        </w:rPr>
        <w:t>分装时，</w:t>
      </w:r>
      <w:r>
        <w:rPr>
          <w:rFonts w:hint="eastAsia"/>
          <w:bCs/>
          <w:color w:val="000000" w:themeColor="text1"/>
          <w:sz w:val="28"/>
          <w:szCs w:val="28"/>
        </w:rPr>
        <w:t>加注机</w:t>
      </w:r>
      <w:r>
        <w:rPr>
          <w:bCs/>
          <w:color w:val="000000" w:themeColor="text1"/>
          <w:sz w:val="28"/>
          <w:szCs w:val="28"/>
        </w:rPr>
        <w:t>通过泵，将甲醇自甲醇罐中抽出，经甲醇管道送至</w:t>
      </w:r>
      <w:r>
        <w:rPr>
          <w:rFonts w:hint="eastAsia"/>
          <w:bCs/>
          <w:color w:val="000000" w:themeColor="text1"/>
          <w:sz w:val="28"/>
          <w:szCs w:val="28"/>
        </w:rPr>
        <w:t>加注机</w:t>
      </w:r>
      <w:r>
        <w:rPr>
          <w:bCs/>
          <w:color w:val="000000" w:themeColor="text1"/>
          <w:sz w:val="28"/>
          <w:szCs w:val="28"/>
        </w:rPr>
        <w:t>，</w:t>
      </w:r>
      <w:r>
        <w:rPr>
          <w:rFonts w:hint="eastAsia"/>
          <w:bCs/>
          <w:color w:val="000000" w:themeColor="text1"/>
          <w:sz w:val="28"/>
          <w:szCs w:val="28"/>
        </w:rPr>
        <w:t>通过加注机加注至</w:t>
      </w:r>
      <w:r>
        <w:rPr>
          <w:bCs/>
          <w:color w:val="000000" w:themeColor="text1"/>
          <w:sz w:val="28"/>
          <w:szCs w:val="28"/>
        </w:rPr>
        <w:t>甲醇桶（由购货方</w:t>
      </w:r>
      <w:r>
        <w:rPr>
          <w:rFonts w:hint="eastAsia"/>
          <w:bCs/>
          <w:color w:val="000000" w:themeColor="text1"/>
          <w:sz w:val="28"/>
          <w:szCs w:val="28"/>
        </w:rPr>
        <w:t>或者公司</w:t>
      </w:r>
      <w:r>
        <w:rPr>
          <w:bCs/>
          <w:color w:val="000000" w:themeColor="text1"/>
          <w:sz w:val="28"/>
          <w:szCs w:val="28"/>
        </w:rPr>
        <w:t>负责提供）后</w:t>
      </w:r>
      <w:r>
        <w:rPr>
          <w:rFonts w:hint="eastAsia"/>
          <w:bCs/>
          <w:color w:val="000000" w:themeColor="text1"/>
          <w:sz w:val="28"/>
          <w:szCs w:val="28"/>
        </w:rPr>
        <w:t>向外运输</w:t>
      </w:r>
      <w:r>
        <w:rPr>
          <w:bCs/>
          <w:color w:val="000000" w:themeColor="text1"/>
          <w:sz w:val="28"/>
          <w:szCs w:val="28"/>
        </w:rPr>
        <w:t>，甲醇在有购货方需要的时候才进行装桶作业。</w:t>
      </w:r>
    </w:p>
    <w:p>
      <w:pPr>
        <w:pStyle w:val="19"/>
        <w:spacing w:afterLines="100" w:line="500" w:lineRule="exact"/>
        <w:rPr>
          <w:rFonts w:hint="eastAsia" w:ascii="黑体" w:hAnsi="宋体" w:eastAsia="黑体"/>
          <w:color w:val="000000" w:themeColor="text1"/>
          <w:kern w:val="3"/>
          <w:sz w:val="28"/>
          <w:szCs w:val="28"/>
          <w:lang w:val="en-US" w:eastAsia="zh-CN"/>
        </w:rPr>
      </w:pPr>
      <w:r>
        <w:rPr>
          <w:rFonts w:hint="eastAsia" w:ascii="黑体" w:hAnsi="宋体" w:eastAsia="黑体"/>
          <w:color w:val="000000" w:themeColor="text1"/>
          <w:kern w:val="3"/>
          <w:sz w:val="28"/>
          <w:szCs w:val="28"/>
          <w:lang w:val="en-US" w:eastAsia="zh-CN"/>
        </w:rPr>
        <w:t>2.5.4计量工艺</w:t>
      </w:r>
    </w:p>
    <w:p>
      <w:pPr>
        <w:snapToGrid w:val="0"/>
        <w:spacing w:line="500" w:lineRule="exact"/>
        <w:ind w:firstLine="560" w:firstLineChars="200"/>
        <w:jc w:val="left"/>
        <w:rPr>
          <w:rFonts w:hint="eastAsia"/>
          <w:sz w:val="28"/>
          <w:szCs w:val="28"/>
        </w:rPr>
      </w:pPr>
      <w:r>
        <w:rPr>
          <w:rFonts w:hint="eastAsia"/>
          <w:sz w:val="28"/>
          <w:szCs w:val="28"/>
        </w:rPr>
        <w:t>人工计量：由人工使用量油标尺通过</w:t>
      </w:r>
      <w:r>
        <w:rPr>
          <w:rFonts w:hint="eastAsia"/>
          <w:sz w:val="28"/>
          <w:szCs w:val="28"/>
          <w:lang w:val="en-US" w:eastAsia="zh-CN"/>
        </w:rPr>
        <w:t>储罐</w:t>
      </w:r>
      <w:r>
        <w:rPr>
          <w:rFonts w:hint="eastAsia"/>
          <w:sz w:val="28"/>
          <w:szCs w:val="28"/>
        </w:rPr>
        <w:t>的人工量油孔测量</w:t>
      </w:r>
      <w:r>
        <w:rPr>
          <w:rFonts w:hint="eastAsia"/>
          <w:sz w:val="28"/>
          <w:szCs w:val="28"/>
          <w:lang w:val="en-US" w:eastAsia="zh-CN"/>
        </w:rPr>
        <w:t>甲醇液位</w:t>
      </w:r>
      <w:r>
        <w:rPr>
          <w:rFonts w:hint="eastAsia"/>
          <w:sz w:val="28"/>
          <w:szCs w:val="28"/>
        </w:rPr>
        <w:t>高度。</w:t>
      </w:r>
      <w:r>
        <w:rPr>
          <w:rFonts w:hint="eastAsia"/>
          <w:sz w:val="28"/>
          <w:szCs w:val="28"/>
          <w:lang w:val="en-US" w:eastAsia="zh-CN"/>
        </w:rPr>
        <w:t>甲醇</w:t>
      </w:r>
      <w:r>
        <w:rPr>
          <w:rFonts w:hint="eastAsia"/>
          <w:sz w:val="28"/>
          <w:szCs w:val="28"/>
        </w:rPr>
        <w:t>计量包括测量和计算，测量包括：</w:t>
      </w:r>
      <w:r>
        <w:rPr>
          <w:rFonts w:hint="eastAsia"/>
          <w:sz w:val="28"/>
          <w:szCs w:val="28"/>
          <w:lang w:val="en-US" w:eastAsia="zh-CN"/>
        </w:rPr>
        <w:t>甲醇</w:t>
      </w:r>
      <w:r>
        <w:rPr>
          <w:rFonts w:hint="eastAsia"/>
          <w:sz w:val="28"/>
          <w:szCs w:val="28"/>
        </w:rPr>
        <w:t>高测量、水高测量、温计量、取样、视密度和试验温度的测定。</w:t>
      </w:r>
      <w:r>
        <w:rPr>
          <w:rFonts w:hint="eastAsia"/>
          <w:sz w:val="28"/>
          <w:szCs w:val="28"/>
          <w:lang w:val="en-US" w:eastAsia="zh-CN"/>
        </w:rPr>
        <w:t>甲醇</w:t>
      </w:r>
      <w:r>
        <w:rPr>
          <w:rFonts w:hint="eastAsia"/>
          <w:sz w:val="28"/>
          <w:szCs w:val="28"/>
        </w:rPr>
        <w:t>计算包括容积计算和重量计算，各环节损耗计算。</w:t>
      </w:r>
    </w:p>
    <w:p>
      <w:pPr>
        <w:snapToGrid w:val="0"/>
        <w:spacing w:line="500" w:lineRule="exact"/>
        <w:ind w:firstLine="560" w:firstLineChars="200"/>
        <w:jc w:val="left"/>
        <w:rPr>
          <w:rFonts w:hint="eastAsia"/>
          <w:sz w:val="28"/>
          <w:szCs w:val="28"/>
        </w:rPr>
      </w:pPr>
      <w:r>
        <w:rPr>
          <w:rFonts w:hint="eastAsia"/>
          <w:sz w:val="28"/>
          <w:szCs w:val="28"/>
        </w:rPr>
        <w:t>液位仪计量：</w:t>
      </w:r>
      <w:r>
        <w:rPr>
          <w:rFonts w:hint="eastAsia"/>
          <w:sz w:val="28"/>
          <w:szCs w:val="28"/>
          <w:lang w:val="en-US" w:eastAsia="zh-CN"/>
        </w:rPr>
        <w:t>储罐</w:t>
      </w:r>
      <w:r>
        <w:rPr>
          <w:rFonts w:hint="eastAsia"/>
          <w:sz w:val="28"/>
          <w:szCs w:val="28"/>
        </w:rPr>
        <w:t>安装有磁致伸缩液位仪，配合液位监控报警仪使用，可通过人机界面设定和监控</w:t>
      </w:r>
      <w:r>
        <w:rPr>
          <w:rFonts w:hint="eastAsia"/>
          <w:sz w:val="28"/>
          <w:szCs w:val="28"/>
          <w:lang w:val="en-US" w:eastAsia="zh-CN"/>
        </w:rPr>
        <w:t>储</w:t>
      </w:r>
      <w:r>
        <w:rPr>
          <w:rFonts w:hint="eastAsia"/>
          <w:sz w:val="28"/>
          <w:szCs w:val="28"/>
        </w:rPr>
        <w:t>罐</w:t>
      </w:r>
      <w:r>
        <w:rPr>
          <w:rFonts w:hint="eastAsia"/>
          <w:sz w:val="28"/>
          <w:szCs w:val="28"/>
          <w:lang w:val="en-US" w:eastAsia="zh-CN"/>
        </w:rPr>
        <w:t>甲醇液</w:t>
      </w:r>
      <w:r>
        <w:rPr>
          <w:rFonts w:hint="eastAsia"/>
          <w:sz w:val="28"/>
          <w:szCs w:val="28"/>
        </w:rPr>
        <w:t>位高、水位高，并有低液位报警和高液位报警功能。通过该系统可读取报警信息、</w:t>
      </w:r>
      <w:r>
        <w:rPr>
          <w:rFonts w:hint="eastAsia"/>
          <w:sz w:val="28"/>
          <w:szCs w:val="28"/>
          <w:lang w:val="en-US" w:eastAsia="zh-CN"/>
        </w:rPr>
        <w:t>装卸</w:t>
      </w:r>
      <w:r>
        <w:rPr>
          <w:rFonts w:hint="eastAsia"/>
          <w:sz w:val="28"/>
          <w:szCs w:val="28"/>
        </w:rPr>
        <w:t>记录等，具有显示、存储、报警和人机交互功能。</w:t>
      </w:r>
    </w:p>
    <w:p>
      <w:pPr>
        <w:pStyle w:val="19"/>
        <w:spacing w:afterLines="100" w:line="500" w:lineRule="exact"/>
        <w:rPr>
          <w:rFonts w:ascii="黑体" w:hAnsi="宋体" w:eastAsia="黑体"/>
          <w:color w:val="000000" w:themeColor="text1"/>
          <w:kern w:val="3"/>
          <w:sz w:val="28"/>
          <w:szCs w:val="28"/>
        </w:rPr>
      </w:pPr>
      <w:bookmarkStart w:id="479" w:name="_Toc24637"/>
      <w:bookmarkStart w:id="480" w:name="_Toc19132"/>
      <w:bookmarkStart w:id="481" w:name="_Toc7175"/>
      <w:bookmarkStart w:id="482" w:name="_Toc22965"/>
      <w:r>
        <w:rPr>
          <w:rFonts w:hint="eastAsia" w:ascii="黑体" w:hAnsi="宋体" w:eastAsia="黑体"/>
          <w:color w:val="000000" w:themeColor="text1"/>
          <w:kern w:val="3"/>
          <w:sz w:val="28"/>
          <w:szCs w:val="28"/>
        </w:rPr>
        <w:t>2.5.</w:t>
      </w:r>
      <w:r>
        <w:rPr>
          <w:rFonts w:hint="eastAsia" w:ascii="黑体" w:hAnsi="宋体" w:eastAsia="黑体"/>
          <w:color w:val="000000" w:themeColor="text1"/>
          <w:kern w:val="3"/>
          <w:sz w:val="28"/>
          <w:szCs w:val="28"/>
          <w:lang w:val="en-US" w:eastAsia="zh-CN"/>
        </w:rPr>
        <w:t>5</w:t>
      </w:r>
      <w:r>
        <w:rPr>
          <w:rFonts w:hint="eastAsia" w:ascii="黑体" w:hAnsi="宋体" w:eastAsia="黑体"/>
          <w:color w:val="000000" w:themeColor="text1"/>
          <w:kern w:val="3"/>
          <w:sz w:val="28"/>
          <w:szCs w:val="28"/>
        </w:rPr>
        <w:t>产品装车</w:t>
      </w:r>
      <w:bookmarkEnd w:id="479"/>
      <w:bookmarkEnd w:id="480"/>
      <w:bookmarkEnd w:id="481"/>
      <w:bookmarkEnd w:id="482"/>
    </w:p>
    <w:p>
      <w:pPr>
        <w:pStyle w:val="51"/>
        <w:rPr>
          <w:rFonts w:ascii="Times New Roman" w:hAnsi="Times New Roman"/>
          <w:color w:val="000000" w:themeColor="text1"/>
        </w:rPr>
      </w:pPr>
      <w:r>
        <w:rPr>
          <w:rFonts w:ascii="Times New Roman" w:hAnsi="Times New Roman"/>
          <w:bCs/>
          <w:color w:val="000000" w:themeColor="text1"/>
          <w:kern w:val="2"/>
          <w:szCs w:val="28"/>
        </w:rPr>
        <w:t>外来车辆安装好阻火器进入装车区，停车熄火，并在车轮垫好阻车器，接好防静电静电夹。装车作业人员穿戴好劳保用品将桶装甲醇堆放在车上。装车完毕，依次拆除安全设施，车辆出厂。</w:t>
      </w:r>
    </w:p>
    <w:p>
      <w:pPr>
        <w:spacing w:afterLines="50" w:line="500" w:lineRule="exact"/>
        <w:ind w:firstLine="560" w:firstLineChars="200"/>
        <w:rPr>
          <w:color w:val="000000" w:themeColor="text1"/>
          <w:sz w:val="28"/>
          <w:szCs w:val="28"/>
        </w:rPr>
      </w:pPr>
      <w:r>
        <w:rPr>
          <w:rFonts w:eastAsiaTheme="minorEastAsia"/>
          <w:color w:val="000000" w:themeColor="text1"/>
          <w:sz w:val="28"/>
          <w:szCs w:val="28"/>
        </w:rPr>
        <w:t>该项目工艺流程简图如下图所示</w:t>
      </w:r>
      <w:r>
        <w:rPr>
          <w:color w:val="000000" w:themeColor="text1"/>
          <w:sz w:val="28"/>
          <w:szCs w:val="28"/>
        </w:rPr>
        <w:t>：</w:t>
      </w:r>
    </w:p>
    <w:p>
      <w:pPr>
        <w:widowControl/>
        <w:rPr>
          <w:rFonts w:hint="eastAsia" w:eastAsia="宋体"/>
          <w:color w:val="000000" w:themeColor="text1"/>
          <w:lang w:eastAsia="zh-CN"/>
        </w:rPr>
      </w:pPr>
      <w:r>
        <w:rPr>
          <w:rFonts w:hint="eastAsia" w:eastAsia="宋体"/>
          <w:color w:val="000000" w:themeColor="text1"/>
          <w:lang w:eastAsia="zh-CN"/>
        </w:rPr>
        <w:drawing>
          <wp:inline distT="0" distB="0" distL="114300" distR="114300">
            <wp:extent cx="5257800" cy="1866900"/>
            <wp:effectExtent l="0" t="0" r="0" b="0"/>
            <wp:docPr id="4" name="图片 4" descr="1653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3983627"/>
                    <pic:cNvPicPr>
                      <a:picLocks noChangeAspect="1"/>
                    </pic:cNvPicPr>
                  </pic:nvPicPr>
                  <pic:blipFill>
                    <a:blip r:embed="rId12"/>
                    <a:stretch>
                      <a:fillRect/>
                    </a:stretch>
                  </pic:blipFill>
                  <pic:spPr>
                    <a:xfrm>
                      <a:off x="0" y="0"/>
                      <a:ext cx="5257800" cy="1866900"/>
                    </a:xfrm>
                    <a:prstGeom prst="rect">
                      <a:avLst/>
                    </a:prstGeom>
                  </pic:spPr>
                </pic:pic>
              </a:graphicData>
            </a:graphic>
          </wp:inline>
        </w:drawing>
      </w:r>
    </w:p>
    <w:p>
      <w:pPr>
        <w:adjustRightInd w:val="0"/>
        <w:snapToGrid w:val="0"/>
        <w:spacing w:line="500" w:lineRule="exact"/>
        <w:ind w:firstLine="480" w:firstLineChars="200"/>
        <w:jc w:val="center"/>
        <w:rPr>
          <w:rFonts w:eastAsiaTheme="minorEastAsia"/>
          <w:snapToGrid w:val="0"/>
          <w:color w:val="000000" w:themeColor="text1"/>
          <w:kern w:val="0"/>
          <w:sz w:val="24"/>
        </w:rPr>
      </w:pPr>
      <w:r>
        <w:rPr>
          <w:rFonts w:eastAsiaTheme="minorEastAsia"/>
          <w:snapToGrid w:val="0"/>
          <w:color w:val="000000" w:themeColor="text1"/>
          <w:kern w:val="0"/>
          <w:sz w:val="24"/>
        </w:rPr>
        <w:t>图2-</w:t>
      </w:r>
      <w:r>
        <w:rPr>
          <w:rFonts w:hint="eastAsia" w:eastAsiaTheme="minorEastAsia"/>
          <w:snapToGrid w:val="0"/>
          <w:color w:val="000000" w:themeColor="text1"/>
          <w:kern w:val="0"/>
          <w:sz w:val="24"/>
        </w:rPr>
        <w:t>3</w:t>
      </w:r>
      <w:r>
        <w:rPr>
          <w:rFonts w:eastAsiaTheme="minorEastAsia"/>
          <w:snapToGrid w:val="0"/>
          <w:color w:val="000000" w:themeColor="text1"/>
          <w:kern w:val="0"/>
          <w:sz w:val="24"/>
        </w:rPr>
        <w:t xml:space="preserve">  项目工艺流程简图</w:t>
      </w:r>
    </w:p>
    <w:p>
      <w:pPr>
        <w:pStyle w:val="19"/>
        <w:spacing w:afterLines="100" w:line="500" w:lineRule="exact"/>
        <w:jc w:val="center"/>
        <w:rPr>
          <w:rFonts w:ascii="楷体_GB2312" w:hAnsi="宋体" w:eastAsia="楷体_GB2312"/>
          <w:color w:val="000000" w:themeColor="text1"/>
          <w:kern w:val="3"/>
        </w:rPr>
      </w:pPr>
      <w:bookmarkStart w:id="483" w:name="_Toc30579"/>
      <w:bookmarkStart w:id="484" w:name="_Toc30060"/>
      <w:bookmarkStart w:id="485" w:name="_Toc403"/>
      <w:bookmarkStart w:id="486" w:name="_Toc21555"/>
      <w:bookmarkStart w:id="487" w:name="_Toc16117"/>
      <w:bookmarkStart w:id="488" w:name="_Toc13780"/>
      <w:bookmarkStart w:id="489" w:name="_Toc27"/>
      <w:bookmarkStart w:id="490" w:name="_Toc23858"/>
      <w:bookmarkStart w:id="491" w:name="_Toc32640"/>
      <w:bookmarkStart w:id="492" w:name="_Toc31418"/>
      <w:bookmarkStart w:id="493" w:name="_Toc11658_WPSOffice_Level2"/>
      <w:bookmarkStart w:id="494" w:name="_Toc5365"/>
      <w:bookmarkStart w:id="495" w:name="_Toc11850"/>
      <w:bookmarkStart w:id="496" w:name="_Toc24630"/>
      <w:bookmarkStart w:id="497" w:name="_Toc29998"/>
      <w:bookmarkStart w:id="498" w:name="_Toc32201"/>
      <w:r>
        <w:rPr>
          <w:rFonts w:hint="eastAsia" w:ascii="楷体_GB2312" w:hAnsi="宋体" w:eastAsia="楷体_GB2312"/>
          <w:color w:val="000000" w:themeColor="text1"/>
          <w:kern w:val="3"/>
        </w:rPr>
        <w:t>2.6 主要设备、设施及建（构）筑物</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19"/>
        <w:spacing w:afterLines="100" w:line="500" w:lineRule="exact"/>
        <w:rPr>
          <w:rFonts w:ascii="黑体" w:hAnsi="宋体" w:eastAsia="黑体"/>
          <w:color w:val="000000" w:themeColor="text1"/>
          <w:kern w:val="3"/>
          <w:sz w:val="28"/>
          <w:szCs w:val="28"/>
        </w:rPr>
      </w:pPr>
      <w:bookmarkStart w:id="499" w:name="_Toc19487"/>
      <w:bookmarkStart w:id="500" w:name="_Toc22861"/>
      <w:bookmarkStart w:id="501" w:name="_Toc5420"/>
      <w:bookmarkStart w:id="502" w:name="_Toc13908"/>
      <w:bookmarkStart w:id="503" w:name="_Toc30032"/>
      <w:bookmarkStart w:id="504" w:name="_Toc14410"/>
      <w:bookmarkStart w:id="505" w:name="_Toc20446"/>
      <w:bookmarkStart w:id="506" w:name="_Toc686"/>
      <w:bookmarkStart w:id="507" w:name="_Toc10304"/>
      <w:bookmarkStart w:id="508" w:name="_Toc18081"/>
      <w:r>
        <w:rPr>
          <w:rFonts w:hint="eastAsia" w:ascii="黑体" w:hAnsi="宋体" w:eastAsia="黑体"/>
          <w:color w:val="000000" w:themeColor="text1"/>
          <w:kern w:val="3"/>
          <w:sz w:val="28"/>
          <w:szCs w:val="28"/>
        </w:rPr>
        <w:t>2.6.1 主要设备、设施</w:t>
      </w:r>
      <w:bookmarkEnd w:id="499"/>
      <w:bookmarkEnd w:id="500"/>
      <w:bookmarkEnd w:id="501"/>
      <w:bookmarkEnd w:id="502"/>
      <w:bookmarkEnd w:id="503"/>
      <w:bookmarkEnd w:id="504"/>
      <w:bookmarkEnd w:id="505"/>
      <w:bookmarkEnd w:id="506"/>
      <w:bookmarkEnd w:id="507"/>
      <w:bookmarkEnd w:id="508"/>
    </w:p>
    <w:p>
      <w:pPr>
        <w:adjustRightInd w:val="0"/>
        <w:snapToGrid w:val="0"/>
        <w:spacing w:line="500" w:lineRule="exact"/>
        <w:ind w:firstLine="560" w:firstLineChars="200"/>
        <w:rPr>
          <w:color w:val="000000" w:themeColor="text1"/>
          <w:sz w:val="28"/>
          <w:szCs w:val="28"/>
        </w:rPr>
      </w:pPr>
      <w:bookmarkStart w:id="509" w:name="_Toc16084"/>
      <w:bookmarkStart w:id="510" w:name="_Toc29321"/>
      <w:bookmarkStart w:id="511" w:name="_Toc2492"/>
      <w:bookmarkStart w:id="512" w:name="_Toc9160"/>
      <w:bookmarkStart w:id="513" w:name="_Toc11908"/>
      <w:r>
        <w:rPr>
          <w:color w:val="000000" w:themeColor="text1"/>
          <w:sz w:val="28"/>
          <w:szCs w:val="28"/>
        </w:rPr>
        <w:t>该项目涉及的主要设备、设施情况如下表所示：</w:t>
      </w:r>
      <w:bookmarkEnd w:id="509"/>
      <w:bookmarkEnd w:id="510"/>
      <w:bookmarkEnd w:id="511"/>
      <w:bookmarkEnd w:id="512"/>
      <w:bookmarkEnd w:id="513"/>
      <w:bookmarkStart w:id="514" w:name="_Toc69832432"/>
      <w:bookmarkStart w:id="515" w:name="_Toc513817347"/>
      <w:bookmarkStart w:id="516" w:name="_Toc71558436"/>
      <w:bookmarkStart w:id="517" w:name="_Toc323036829"/>
      <w:bookmarkStart w:id="518" w:name="_Toc317065442"/>
      <w:bookmarkStart w:id="519" w:name="_Toc318370765"/>
      <w:bookmarkStart w:id="520" w:name="_Toc317261098"/>
      <w:bookmarkStart w:id="521" w:name="_Toc71710869"/>
    </w:p>
    <w:p>
      <w:pPr>
        <w:rPr>
          <w:color w:val="000000" w:themeColor="text1"/>
          <w:sz w:val="24"/>
        </w:rPr>
      </w:pPr>
      <w:r>
        <w:rPr>
          <w:color w:val="000000" w:themeColor="text1"/>
          <w:sz w:val="24"/>
        </w:rPr>
        <w:br w:type="page"/>
      </w:r>
    </w:p>
    <w:p>
      <w:pPr>
        <w:jc w:val="center"/>
        <w:rPr>
          <w:color w:val="000000" w:themeColor="text1"/>
          <w:sz w:val="24"/>
        </w:rPr>
      </w:pPr>
      <w:r>
        <w:rPr>
          <w:color w:val="000000" w:themeColor="text1"/>
          <w:sz w:val="24"/>
        </w:rPr>
        <w:t>表2-3 主要设备、设施一览表</w:t>
      </w:r>
    </w:p>
    <w:tbl>
      <w:tblPr>
        <w:tblStyle w:val="52"/>
        <w:tblW w:w="923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0" w:type="dxa"/>
          <w:right w:w="108" w:type="dxa"/>
        </w:tblCellMar>
      </w:tblPr>
      <w:tblGrid>
        <w:gridCol w:w="2159"/>
        <w:gridCol w:w="1048"/>
        <w:gridCol w:w="2925"/>
        <w:gridCol w:w="2310"/>
        <w:gridCol w:w="7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454" w:hRule="atLeast"/>
          <w:tblHeader/>
          <w:jc w:val="center"/>
        </w:trPr>
        <w:tc>
          <w:tcPr>
            <w:tcW w:w="2159" w:type="dxa"/>
            <w:vAlign w:val="center"/>
          </w:tcPr>
          <w:p>
            <w:pPr>
              <w:jc w:val="center"/>
              <w:rPr>
                <w:rStyle w:val="112"/>
                <w:rFonts w:ascii="Times New Roman" w:hAnsi="Times New Roman"/>
                <w:color w:val="000000" w:themeColor="text1"/>
              </w:rPr>
            </w:pPr>
            <w:r>
              <w:rPr>
                <w:rStyle w:val="112"/>
                <w:rFonts w:ascii="Times New Roman" w:hAnsi="Times New Roman"/>
                <w:color w:val="000000" w:themeColor="text1"/>
              </w:rPr>
              <w:t>设备、设施名称</w:t>
            </w:r>
          </w:p>
        </w:tc>
        <w:tc>
          <w:tcPr>
            <w:tcW w:w="1048" w:type="dxa"/>
            <w:vAlign w:val="center"/>
          </w:tcPr>
          <w:p>
            <w:pPr>
              <w:jc w:val="center"/>
              <w:rPr>
                <w:rStyle w:val="112"/>
                <w:rFonts w:ascii="Times New Roman" w:hAnsi="Times New Roman"/>
                <w:color w:val="000000" w:themeColor="text1"/>
              </w:rPr>
            </w:pPr>
            <w:r>
              <w:rPr>
                <w:rStyle w:val="112"/>
                <w:rFonts w:ascii="Times New Roman" w:hAnsi="Times New Roman"/>
                <w:color w:val="000000" w:themeColor="text1"/>
              </w:rPr>
              <w:t>型号</w:t>
            </w:r>
          </w:p>
        </w:tc>
        <w:tc>
          <w:tcPr>
            <w:tcW w:w="2925" w:type="dxa"/>
            <w:vAlign w:val="center"/>
          </w:tcPr>
          <w:p>
            <w:pPr>
              <w:jc w:val="center"/>
              <w:rPr>
                <w:rStyle w:val="112"/>
                <w:rFonts w:ascii="Times New Roman" w:hAnsi="Times New Roman"/>
                <w:color w:val="000000" w:themeColor="text1"/>
              </w:rPr>
            </w:pPr>
            <w:r>
              <w:rPr>
                <w:rStyle w:val="112"/>
                <w:rFonts w:ascii="Times New Roman" w:hAnsi="Times New Roman"/>
                <w:color w:val="000000" w:themeColor="text1"/>
              </w:rPr>
              <w:t>规格</w:t>
            </w:r>
          </w:p>
        </w:tc>
        <w:tc>
          <w:tcPr>
            <w:tcW w:w="2310" w:type="dxa"/>
            <w:vAlign w:val="center"/>
          </w:tcPr>
          <w:p>
            <w:pPr>
              <w:jc w:val="center"/>
              <w:rPr>
                <w:rStyle w:val="112"/>
                <w:rFonts w:ascii="Times New Roman" w:hAnsi="Times New Roman"/>
                <w:color w:val="000000" w:themeColor="text1"/>
              </w:rPr>
            </w:pPr>
            <w:r>
              <w:rPr>
                <w:rStyle w:val="112"/>
                <w:rFonts w:ascii="Times New Roman" w:hAnsi="Times New Roman"/>
                <w:color w:val="000000" w:themeColor="text1"/>
              </w:rPr>
              <w:t>材质</w:t>
            </w:r>
          </w:p>
        </w:tc>
        <w:tc>
          <w:tcPr>
            <w:tcW w:w="795" w:type="dxa"/>
            <w:vAlign w:val="center"/>
          </w:tcPr>
          <w:p>
            <w:pPr>
              <w:jc w:val="center"/>
              <w:rPr>
                <w:rStyle w:val="112"/>
                <w:rFonts w:ascii="Times New Roman" w:hAnsi="Times New Roman"/>
                <w:color w:val="000000" w:themeColor="text1"/>
              </w:rPr>
            </w:pPr>
            <w:r>
              <w:rPr>
                <w:rStyle w:val="112"/>
                <w:rFonts w:ascii="Times New Roman" w:hAnsi="Times New Roman"/>
                <w:color w:val="000000" w:themeColor="text1"/>
              </w:rPr>
              <w:t>数量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454" w:hRule="atLeast"/>
          <w:jc w:val="center"/>
        </w:trPr>
        <w:tc>
          <w:tcPr>
            <w:tcW w:w="2159" w:type="dxa"/>
            <w:vAlign w:val="center"/>
          </w:tcPr>
          <w:p>
            <w:pPr>
              <w:jc w:val="center"/>
              <w:rPr>
                <w:color w:val="000000" w:themeColor="text1"/>
                <w:szCs w:val="21"/>
              </w:rPr>
            </w:pPr>
            <w:r>
              <w:rPr>
                <w:color w:val="000000" w:themeColor="text1"/>
                <w:szCs w:val="21"/>
              </w:rPr>
              <w:t>甲醇罐</w:t>
            </w:r>
          </w:p>
        </w:tc>
        <w:tc>
          <w:tcPr>
            <w:tcW w:w="1048" w:type="dxa"/>
            <w:vAlign w:val="center"/>
          </w:tcPr>
          <w:p>
            <w:pPr>
              <w:jc w:val="center"/>
              <w:rPr>
                <w:color w:val="000000" w:themeColor="text1"/>
                <w:szCs w:val="21"/>
              </w:rPr>
            </w:pPr>
            <w:r>
              <w:rPr>
                <w:color w:val="000000" w:themeColor="text1"/>
                <w:szCs w:val="21"/>
              </w:rPr>
              <w:t>-</w:t>
            </w:r>
          </w:p>
        </w:tc>
        <w:tc>
          <w:tcPr>
            <w:tcW w:w="2925" w:type="dxa"/>
            <w:vAlign w:val="center"/>
          </w:tcPr>
          <w:p>
            <w:pPr>
              <w:jc w:val="center"/>
              <w:rPr>
                <w:color w:val="000000" w:themeColor="text1"/>
              </w:rPr>
            </w:pPr>
            <w:r>
              <w:rPr>
                <w:color w:val="000000" w:themeColor="text1"/>
              </w:rPr>
              <w:t>∅</w:t>
            </w:r>
            <w:r>
              <w:rPr>
                <w:rFonts w:hint="eastAsia"/>
                <w:color w:val="000000" w:themeColor="text1"/>
              </w:rPr>
              <w:t>2400</w:t>
            </w:r>
            <w:r>
              <w:rPr>
                <w:color w:val="000000" w:themeColor="text1"/>
              </w:rPr>
              <w:t>x</w:t>
            </w:r>
            <w:r>
              <w:rPr>
                <w:rFonts w:hint="eastAsia"/>
                <w:color w:val="000000" w:themeColor="text1"/>
              </w:rPr>
              <w:t>7100</w:t>
            </w:r>
            <w:r>
              <w:rPr>
                <w:color w:val="000000" w:themeColor="text1"/>
              </w:rPr>
              <w:t>； V=</w:t>
            </w:r>
            <w:r>
              <w:rPr>
                <w:rFonts w:hint="eastAsia"/>
                <w:color w:val="000000" w:themeColor="text1"/>
              </w:rPr>
              <w:t>30</w:t>
            </w:r>
            <w:r>
              <w:rPr>
                <w:color w:val="000000" w:themeColor="text1"/>
              </w:rPr>
              <w:t>m</w:t>
            </w:r>
            <w:r>
              <w:rPr>
                <w:color w:val="000000" w:themeColor="text1"/>
                <w:vertAlign w:val="superscript"/>
              </w:rPr>
              <w:t>3</w:t>
            </w:r>
          </w:p>
          <w:p>
            <w:pPr>
              <w:pStyle w:val="51"/>
              <w:ind w:firstLine="210" w:firstLineChars="100"/>
              <w:rPr>
                <w:color w:val="000000" w:themeColor="text1"/>
              </w:rPr>
            </w:pPr>
            <w:r>
              <w:rPr>
                <w:rFonts w:ascii="Times New Roman" w:hAnsi="Times New Roman"/>
                <w:color w:val="000000" w:themeColor="text1"/>
                <w:kern w:val="2"/>
                <w:sz w:val="21"/>
                <w:szCs w:val="22"/>
              </w:rPr>
              <w:t>∅</w:t>
            </w:r>
            <w:r>
              <w:rPr>
                <w:rFonts w:hint="eastAsia" w:ascii="Times New Roman" w:hAnsi="Times New Roman"/>
                <w:color w:val="000000" w:themeColor="text1"/>
                <w:kern w:val="2"/>
                <w:sz w:val="21"/>
                <w:szCs w:val="22"/>
              </w:rPr>
              <w:t>2800</w:t>
            </w:r>
            <w:r>
              <w:rPr>
                <w:rFonts w:ascii="Times New Roman" w:hAnsi="Times New Roman"/>
                <w:color w:val="000000" w:themeColor="text1"/>
                <w:kern w:val="2"/>
                <w:sz w:val="21"/>
                <w:szCs w:val="22"/>
              </w:rPr>
              <w:t>x</w:t>
            </w:r>
            <w:r>
              <w:rPr>
                <w:rFonts w:hint="eastAsia" w:ascii="Times New Roman" w:hAnsi="Times New Roman"/>
                <w:color w:val="000000" w:themeColor="text1"/>
                <w:kern w:val="2"/>
                <w:sz w:val="21"/>
                <w:szCs w:val="22"/>
              </w:rPr>
              <w:t>8700</w:t>
            </w:r>
            <w:r>
              <w:rPr>
                <w:rFonts w:ascii="Times New Roman" w:hAnsi="Times New Roman"/>
                <w:color w:val="000000" w:themeColor="text1"/>
                <w:kern w:val="2"/>
                <w:sz w:val="21"/>
                <w:szCs w:val="22"/>
              </w:rPr>
              <w:t>； V=</w:t>
            </w:r>
            <w:r>
              <w:rPr>
                <w:rFonts w:hint="eastAsia" w:ascii="Times New Roman" w:hAnsi="Times New Roman"/>
                <w:color w:val="000000" w:themeColor="text1"/>
                <w:kern w:val="2"/>
                <w:sz w:val="21"/>
                <w:szCs w:val="22"/>
              </w:rPr>
              <w:t>50</w:t>
            </w:r>
            <w:r>
              <w:rPr>
                <w:rFonts w:ascii="Times New Roman" w:hAnsi="Times New Roman"/>
                <w:color w:val="000000" w:themeColor="text1"/>
                <w:kern w:val="2"/>
                <w:sz w:val="21"/>
                <w:szCs w:val="22"/>
              </w:rPr>
              <w:t>m</w:t>
            </w:r>
            <w:r>
              <w:rPr>
                <w:color w:val="000000" w:themeColor="text1"/>
                <w:vertAlign w:val="superscript"/>
              </w:rPr>
              <w:t>3</w:t>
            </w:r>
          </w:p>
        </w:tc>
        <w:tc>
          <w:tcPr>
            <w:tcW w:w="2310" w:type="dxa"/>
            <w:vAlign w:val="center"/>
          </w:tcPr>
          <w:p>
            <w:pPr>
              <w:spacing w:beforeLines="50"/>
              <w:jc w:val="center"/>
              <w:rPr>
                <w:color w:val="000000" w:themeColor="text1"/>
                <w:szCs w:val="21"/>
              </w:rPr>
            </w:pPr>
            <w:r>
              <w:rPr>
                <w:rFonts w:hint="eastAsia"/>
                <w:color w:val="000000" w:themeColor="text1"/>
                <w:szCs w:val="21"/>
                <w:lang w:val="en-US" w:eastAsia="zh-CN"/>
              </w:rPr>
              <w:t>单层储罐，采用材质为</w:t>
            </w:r>
            <w:r>
              <w:rPr>
                <w:color w:val="000000" w:themeColor="text1"/>
                <w:szCs w:val="21"/>
              </w:rPr>
              <w:t>Q235B</w:t>
            </w:r>
          </w:p>
          <w:p>
            <w:pPr>
              <w:jc w:val="center"/>
              <w:rPr>
                <w:color w:val="000000" w:themeColor="text1"/>
                <w:szCs w:val="21"/>
              </w:rPr>
            </w:pPr>
          </w:p>
        </w:tc>
        <w:tc>
          <w:tcPr>
            <w:tcW w:w="795" w:type="dxa"/>
            <w:vAlign w:val="center"/>
          </w:tcPr>
          <w:p>
            <w:pPr>
              <w:jc w:val="center"/>
              <w:rPr>
                <w:color w:val="000000" w:themeColor="text1"/>
                <w:szCs w:val="21"/>
              </w:rPr>
            </w:pPr>
            <w:r>
              <w:rPr>
                <w:rFonts w:hint="eastAsia"/>
                <w:color w:val="000000" w:themeColor="text1"/>
                <w:szCs w:val="21"/>
              </w:rPr>
              <w:t>2座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454" w:hRule="atLeast"/>
          <w:jc w:val="center"/>
        </w:trPr>
        <w:tc>
          <w:tcPr>
            <w:tcW w:w="2159" w:type="dxa"/>
            <w:vAlign w:val="center"/>
          </w:tcPr>
          <w:p>
            <w:pPr>
              <w:jc w:val="center"/>
              <w:rPr>
                <w:color w:val="000000" w:themeColor="text1"/>
                <w:szCs w:val="21"/>
              </w:rPr>
            </w:pPr>
            <w:r>
              <w:rPr>
                <w:color w:val="000000" w:themeColor="text1"/>
                <w:szCs w:val="21"/>
              </w:rPr>
              <w:t>甲醇卸车软管</w:t>
            </w:r>
          </w:p>
        </w:tc>
        <w:tc>
          <w:tcPr>
            <w:tcW w:w="1048" w:type="dxa"/>
            <w:vAlign w:val="center"/>
          </w:tcPr>
          <w:p>
            <w:pPr>
              <w:jc w:val="center"/>
              <w:rPr>
                <w:color w:val="000000" w:themeColor="text1"/>
                <w:szCs w:val="21"/>
              </w:rPr>
            </w:pPr>
            <w:r>
              <w:rPr>
                <w:color w:val="000000" w:themeColor="text1"/>
                <w:szCs w:val="21"/>
              </w:rPr>
              <w:t>-</w:t>
            </w:r>
          </w:p>
        </w:tc>
        <w:tc>
          <w:tcPr>
            <w:tcW w:w="2925" w:type="dxa"/>
            <w:vAlign w:val="center"/>
          </w:tcPr>
          <w:p>
            <w:pPr>
              <w:tabs>
                <w:tab w:val="left" w:pos="7668"/>
                <w:tab w:val="left" w:pos="7810"/>
                <w:tab w:val="left" w:pos="7952"/>
                <w:tab w:val="left" w:pos="8094"/>
                <w:tab w:val="left" w:pos="8236"/>
              </w:tabs>
              <w:autoSpaceDE w:val="0"/>
              <w:autoSpaceDN w:val="0"/>
              <w:adjustRightInd w:val="0"/>
              <w:jc w:val="center"/>
              <w:rPr>
                <w:color w:val="000000" w:themeColor="text1"/>
                <w:szCs w:val="21"/>
              </w:rPr>
            </w:pPr>
            <w:r>
              <w:rPr>
                <w:color w:val="000000" w:themeColor="text1"/>
                <w:szCs w:val="21"/>
              </w:rPr>
              <w:t>DN80  PN6</w:t>
            </w:r>
          </w:p>
        </w:tc>
        <w:tc>
          <w:tcPr>
            <w:tcW w:w="2310" w:type="dxa"/>
            <w:vAlign w:val="center"/>
          </w:tcPr>
          <w:p>
            <w:pPr>
              <w:jc w:val="center"/>
              <w:rPr>
                <w:color w:val="000000" w:themeColor="text1"/>
                <w:szCs w:val="21"/>
              </w:rPr>
            </w:pPr>
            <w:r>
              <w:rPr>
                <w:color w:val="000000" w:themeColor="text1"/>
                <w:szCs w:val="21"/>
              </w:rPr>
              <w:t>导静电耐油软管,带快速接头（阴接头），L=6000</w:t>
            </w:r>
          </w:p>
        </w:tc>
        <w:tc>
          <w:tcPr>
            <w:tcW w:w="795" w:type="dxa"/>
            <w:vAlign w:val="center"/>
          </w:tcPr>
          <w:p>
            <w:pPr>
              <w:jc w:val="center"/>
              <w:rPr>
                <w:color w:val="000000" w:themeColor="text1"/>
                <w:szCs w:val="21"/>
              </w:rPr>
            </w:pPr>
            <w:r>
              <w:rPr>
                <w:color w:val="000000" w:themeColor="text1"/>
                <w:szCs w:val="21"/>
              </w:rPr>
              <w:t>1根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58" w:hRule="atLeast"/>
          <w:jc w:val="center"/>
        </w:trPr>
        <w:tc>
          <w:tcPr>
            <w:tcW w:w="2159" w:type="dxa"/>
            <w:vAlign w:val="center"/>
          </w:tcPr>
          <w:p>
            <w:pPr>
              <w:jc w:val="center"/>
              <w:rPr>
                <w:color w:val="000000" w:themeColor="text1"/>
                <w:szCs w:val="21"/>
              </w:rPr>
            </w:pPr>
            <w:r>
              <w:rPr>
                <w:color w:val="000000" w:themeColor="text1"/>
                <w:szCs w:val="21"/>
              </w:rPr>
              <w:t>消防沙池</w:t>
            </w:r>
          </w:p>
        </w:tc>
        <w:tc>
          <w:tcPr>
            <w:tcW w:w="1048" w:type="dxa"/>
            <w:vAlign w:val="center"/>
          </w:tcPr>
          <w:p>
            <w:pPr>
              <w:jc w:val="center"/>
              <w:rPr>
                <w:color w:val="000000" w:themeColor="text1"/>
                <w:szCs w:val="21"/>
              </w:rPr>
            </w:pPr>
            <w:r>
              <w:rPr>
                <w:color w:val="000000" w:themeColor="text1"/>
                <w:szCs w:val="21"/>
              </w:rPr>
              <w:t>-</w:t>
            </w:r>
          </w:p>
        </w:tc>
        <w:tc>
          <w:tcPr>
            <w:tcW w:w="2925" w:type="dxa"/>
            <w:vAlign w:val="center"/>
          </w:tcPr>
          <w:p>
            <w:pPr>
              <w:tabs>
                <w:tab w:val="left" w:pos="7668"/>
                <w:tab w:val="left" w:pos="7810"/>
                <w:tab w:val="left" w:pos="7952"/>
                <w:tab w:val="left" w:pos="8094"/>
                <w:tab w:val="left" w:pos="8236"/>
              </w:tabs>
              <w:autoSpaceDE w:val="0"/>
              <w:autoSpaceDN w:val="0"/>
              <w:adjustRightInd w:val="0"/>
              <w:jc w:val="center"/>
              <w:rPr>
                <w:color w:val="000000" w:themeColor="text1"/>
                <w:szCs w:val="21"/>
              </w:rPr>
            </w:pPr>
            <w:r>
              <w:rPr>
                <w:rFonts w:hint="eastAsia"/>
                <w:color w:val="000000" w:themeColor="text1"/>
              </w:rPr>
              <w:t>5</w:t>
            </w:r>
            <w:r>
              <w:rPr>
                <w:color w:val="000000" w:themeColor="text1"/>
              </w:rPr>
              <w:t>m</w:t>
            </w:r>
            <w:r>
              <w:rPr>
                <w:color w:val="000000" w:themeColor="text1"/>
                <w:vertAlign w:val="superscript"/>
              </w:rPr>
              <w:t>3</w:t>
            </w:r>
          </w:p>
        </w:tc>
        <w:tc>
          <w:tcPr>
            <w:tcW w:w="2310" w:type="dxa"/>
            <w:vAlign w:val="center"/>
          </w:tcPr>
          <w:p>
            <w:pPr>
              <w:jc w:val="center"/>
              <w:rPr>
                <w:color w:val="000000" w:themeColor="text1"/>
                <w:szCs w:val="21"/>
              </w:rPr>
            </w:pPr>
            <w:r>
              <w:rPr>
                <w:color w:val="000000" w:themeColor="text1"/>
                <w:szCs w:val="21"/>
              </w:rPr>
              <w:t>普通水泥防腐、防渗</w:t>
            </w:r>
          </w:p>
        </w:tc>
        <w:tc>
          <w:tcPr>
            <w:tcW w:w="795" w:type="dxa"/>
            <w:vAlign w:val="center"/>
          </w:tcPr>
          <w:p>
            <w:pPr>
              <w:jc w:val="center"/>
              <w:rPr>
                <w:color w:val="000000" w:themeColor="text1"/>
                <w:szCs w:val="21"/>
              </w:rPr>
            </w:pPr>
            <w:r>
              <w:rPr>
                <w:color w:val="000000" w:themeColor="text1"/>
                <w:szCs w:val="21"/>
              </w:rPr>
              <w:t>1个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41" w:hRule="atLeast"/>
          <w:jc w:val="center"/>
        </w:trPr>
        <w:tc>
          <w:tcPr>
            <w:tcW w:w="2159" w:type="dxa"/>
            <w:vAlign w:val="center"/>
          </w:tcPr>
          <w:p>
            <w:pPr>
              <w:jc w:val="center"/>
              <w:rPr>
                <w:color w:val="000000" w:themeColor="text1"/>
                <w:szCs w:val="21"/>
              </w:rPr>
            </w:pPr>
            <w:r>
              <w:rPr>
                <w:color w:val="000000" w:themeColor="text1"/>
                <w:szCs w:val="21"/>
              </w:rPr>
              <w:t>甲醇通气口</w:t>
            </w:r>
          </w:p>
        </w:tc>
        <w:tc>
          <w:tcPr>
            <w:tcW w:w="1048" w:type="dxa"/>
            <w:vAlign w:val="center"/>
          </w:tcPr>
          <w:p>
            <w:pPr>
              <w:jc w:val="center"/>
              <w:rPr>
                <w:color w:val="000000" w:themeColor="text1"/>
                <w:szCs w:val="21"/>
              </w:rPr>
            </w:pPr>
            <w:r>
              <w:rPr>
                <w:color w:val="000000" w:themeColor="text1"/>
                <w:szCs w:val="21"/>
              </w:rPr>
              <w:t>-</w:t>
            </w:r>
          </w:p>
        </w:tc>
        <w:tc>
          <w:tcPr>
            <w:tcW w:w="2925" w:type="dxa"/>
            <w:vAlign w:val="center"/>
          </w:tcPr>
          <w:p>
            <w:pPr>
              <w:tabs>
                <w:tab w:val="left" w:pos="7668"/>
                <w:tab w:val="left" w:pos="7810"/>
                <w:tab w:val="left" w:pos="7952"/>
                <w:tab w:val="left" w:pos="8094"/>
                <w:tab w:val="left" w:pos="8236"/>
              </w:tabs>
              <w:autoSpaceDE w:val="0"/>
              <w:autoSpaceDN w:val="0"/>
              <w:adjustRightInd w:val="0"/>
              <w:jc w:val="center"/>
              <w:rPr>
                <w:color w:val="000000" w:themeColor="text1"/>
                <w:szCs w:val="21"/>
              </w:rPr>
            </w:pPr>
            <w:r>
              <w:rPr>
                <w:color w:val="000000" w:themeColor="text1"/>
                <w:szCs w:val="21"/>
              </w:rPr>
              <w:t>DN50，H:4m</w:t>
            </w:r>
          </w:p>
        </w:tc>
        <w:tc>
          <w:tcPr>
            <w:tcW w:w="2310" w:type="dxa"/>
            <w:vAlign w:val="center"/>
          </w:tcPr>
          <w:p>
            <w:pPr>
              <w:jc w:val="center"/>
              <w:rPr>
                <w:color w:val="000000" w:themeColor="text1"/>
                <w:szCs w:val="21"/>
              </w:rPr>
            </w:pPr>
            <w:r>
              <w:rPr>
                <w:color w:val="000000" w:themeColor="text1"/>
                <w:szCs w:val="21"/>
              </w:rPr>
              <w:t>无缝钢管</w:t>
            </w:r>
          </w:p>
        </w:tc>
        <w:tc>
          <w:tcPr>
            <w:tcW w:w="795" w:type="dxa"/>
            <w:vAlign w:val="center"/>
          </w:tcPr>
          <w:p>
            <w:pPr>
              <w:jc w:val="center"/>
              <w:rPr>
                <w:color w:val="000000" w:themeColor="text1"/>
                <w:szCs w:val="21"/>
              </w:rPr>
            </w:pPr>
            <w:r>
              <w:rPr>
                <w:color w:val="000000" w:themeColor="text1"/>
                <w:szCs w:val="21"/>
              </w:rPr>
              <w:t>2根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90" w:hRule="atLeast"/>
          <w:jc w:val="center"/>
        </w:trPr>
        <w:tc>
          <w:tcPr>
            <w:tcW w:w="2159" w:type="dxa"/>
            <w:vAlign w:val="center"/>
          </w:tcPr>
          <w:p>
            <w:pPr>
              <w:jc w:val="center"/>
              <w:rPr>
                <w:color w:val="000000" w:themeColor="text1"/>
                <w:szCs w:val="21"/>
              </w:rPr>
            </w:pPr>
            <w:r>
              <w:rPr>
                <w:color w:val="000000" w:themeColor="text1"/>
                <w:szCs w:val="21"/>
              </w:rPr>
              <w:t>卸车口</w:t>
            </w:r>
          </w:p>
        </w:tc>
        <w:tc>
          <w:tcPr>
            <w:tcW w:w="1048" w:type="dxa"/>
            <w:vAlign w:val="center"/>
          </w:tcPr>
          <w:p>
            <w:pPr>
              <w:jc w:val="center"/>
              <w:rPr>
                <w:color w:val="000000" w:themeColor="text1"/>
                <w:szCs w:val="21"/>
              </w:rPr>
            </w:pPr>
            <w:r>
              <w:rPr>
                <w:color w:val="000000" w:themeColor="text1"/>
                <w:szCs w:val="21"/>
              </w:rPr>
              <w:t>-</w:t>
            </w:r>
          </w:p>
        </w:tc>
        <w:tc>
          <w:tcPr>
            <w:tcW w:w="2925" w:type="dxa"/>
            <w:vAlign w:val="center"/>
          </w:tcPr>
          <w:p>
            <w:pPr>
              <w:tabs>
                <w:tab w:val="left" w:pos="7668"/>
                <w:tab w:val="left" w:pos="7810"/>
                <w:tab w:val="left" w:pos="7952"/>
                <w:tab w:val="left" w:pos="8094"/>
                <w:tab w:val="left" w:pos="8236"/>
              </w:tabs>
              <w:autoSpaceDE w:val="0"/>
              <w:autoSpaceDN w:val="0"/>
              <w:adjustRightInd w:val="0"/>
              <w:jc w:val="center"/>
              <w:rPr>
                <w:color w:val="000000" w:themeColor="text1"/>
                <w:szCs w:val="21"/>
              </w:rPr>
            </w:pPr>
            <w:r>
              <w:rPr>
                <w:color w:val="000000" w:themeColor="text1"/>
                <w:szCs w:val="21"/>
              </w:rPr>
              <w:t>--</w:t>
            </w:r>
          </w:p>
        </w:tc>
        <w:tc>
          <w:tcPr>
            <w:tcW w:w="2310" w:type="dxa"/>
            <w:vAlign w:val="center"/>
          </w:tcPr>
          <w:p>
            <w:pPr>
              <w:jc w:val="center"/>
              <w:rPr>
                <w:color w:val="000000" w:themeColor="text1"/>
                <w:szCs w:val="21"/>
              </w:rPr>
            </w:pPr>
          </w:p>
        </w:tc>
        <w:tc>
          <w:tcPr>
            <w:tcW w:w="795" w:type="dxa"/>
            <w:vAlign w:val="center"/>
          </w:tcPr>
          <w:p>
            <w:pPr>
              <w:jc w:val="center"/>
              <w:rPr>
                <w:color w:val="000000" w:themeColor="text1"/>
                <w:szCs w:val="21"/>
              </w:rPr>
            </w:pPr>
            <w:r>
              <w:rPr>
                <w:rFonts w:hint="eastAsia"/>
                <w:color w:val="000000" w:themeColor="text1"/>
                <w:szCs w:val="21"/>
              </w:rPr>
              <w:t>2</w:t>
            </w:r>
            <w:r>
              <w:rPr>
                <w:color w:val="000000" w:themeColor="text1"/>
                <w:szCs w:val="21"/>
              </w:rPr>
              <w:t>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67" w:hRule="atLeast"/>
          <w:jc w:val="center"/>
        </w:trPr>
        <w:tc>
          <w:tcPr>
            <w:tcW w:w="2159" w:type="dxa"/>
            <w:vAlign w:val="center"/>
          </w:tcPr>
          <w:p>
            <w:pPr>
              <w:jc w:val="center"/>
              <w:rPr>
                <w:color w:val="000000" w:themeColor="text1"/>
                <w:szCs w:val="21"/>
              </w:rPr>
            </w:pPr>
            <w:r>
              <w:rPr>
                <w:rFonts w:hint="eastAsia"/>
                <w:color w:val="000000" w:themeColor="text1"/>
                <w:szCs w:val="21"/>
              </w:rPr>
              <w:t>加注机</w:t>
            </w:r>
          </w:p>
        </w:tc>
        <w:tc>
          <w:tcPr>
            <w:tcW w:w="1048" w:type="dxa"/>
            <w:vAlign w:val="center"/>
          </w:tcPr>
          <w:p>
            <w:pPr>
              <w:jc w:val="center"/>
              <w:rPr>
                <w:color w:val="000000" w:themeColor="text1"/>
                <w:szCs w:val="21"/>
              </w:rPr>
            </w:pPr>
            <w:r>
              <w:rPr>
                <w:color w:val="000000" w:themeColor="text1"/>
                <w:szCs w:val="21"/>
              </w:rPr>
              <w:t>-</w:t>
            </w:r>
          </w:p>
        </w:tc>
        <w:tc>
          <w:tcPr>
            <w:tcW w:w="2925" w:type="dxa"/>
            <w:vAlign w:val="center"/>
          </w:tcPr>
          <w:p>
            <w:pPr>
              <w:tabs>
                <w:tab w:val="left" w:pos="7668"/>
                <w:tab w:val="left" w:pos="7810"/>
                <w:tab w:val="left" w:pos="7952"/>
                <w:tab w:val="left" w:pos="8094"/>
                <w:tab w:val="left" w:pos="8236"/>
              </w:tabs>
              <w:autoSpaceDE w:val="0"/>
              <w:autoSpaceDN w:val="0"/>
              <w:adjustRightInd w:val="0"/>
              <w:jc w:val="center"/>
              <w:rPr>
                <w:color w:val="000000" w:themeColor="text1"/>
                <w:szCs w:val="21"/>
              </w:rPr>
            </w:pPr>
          </w:p>
        </w:tc>
        <w:tc>
          <w:tcPr>
            <w:tcW w:w="2310" w:type="dxa"/>
            <w:vAlign w:val="center"/>
          </w:tcPr>
          <w:p>
            <w:pPr>
              <w:jc w:val="center"/>
              <w:rPr>
                <w:color w:val="000000" w:themeColor="text1"/>
                <w:szCs w:val="21"/>
              </w:rPr>
            </w:pPr>
          </w:p>
        </w:tc>
        <w:tc>
          <w:tcPr>
            <w:tcW w:w="795" w:type="dxa"/>
            <w:vAlign w:val="center"/>
          </w:tcPr>
          <w:p>
            <w:pPr>
              <w:jc w:val="center"/>
              <w:rPr>
                <w:color w:val="000000" w:themeColor="text1"/>
                <w:szCs w:val="21"/>
              </w:rPr>
            </w:pPr>
            <w:r>
              <w:rPr>
                <w:color w:val="000000" w:themeColor="text1"/>
                <w:szCs w:val="21"/>
              </w:rPr>
              <w:t>1</w:t>
            </w:r>
            <w:r>
              <w:rPr>
                <w:rFonts w:hint="eastAsia"/>
                <w:color w:val="000000" w:themeColor="text1"/>
                <w:szCs w:val="21"/>
              </w:rPr>
              <w:t>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67" w:hRule="atLeast"/>
          <w:jc w:val="center"/>
        </w:trPr>
        <w:tc>
          <w:tcPr>
            <w:tcW w:w="2159" w:type="dxa"/>
            <w:vAlign w:val="center"/>
          </w:tcPr>
          <w:p>
            <w:pPr>
              <w:jc w:val="center"/>
              <w:rPr>
                <w:color w:val="000000" w:themeColor="text1"/>
                <w:szCs w:val="21"/>
              </w:rPr>
            </w:pPr>
            <w:r>
              <w:rPr>
                <w:rFonts w:hint="eastAsia"/>
                <w:color w:val="000000" w:themeColor="text1"/>
                <w:szCs w:val="21"/>
              </w:rPr>
              <w:t>液位仪</w:t>
            </w:r>
          </w:p>
        </w:tc>
        <w:tc>
          <w:tcPr>
            <w:tcW w:w="1048" w:type="dxa"/>
            <w:vAlign w:val="center"/>
          </w:tcPr>
          <w:p>
            <w:pPr>
              <w:jc w:val="center"/>
              <w:rPr>
                <w:color w:val="000000" w:themeColor="text1"/>
                <w:szCs w:val="21"/>
              </w:rPr>
            </w:pPr>
            <w:r>
              <w:rPr>
                <w:color w:val="000000" w:themeColor="text1"/>
                <w:szCs w:val="21"/>
              </w:rPr>
              <w:t>-</w:t>
            </w:r>
          </w:p>
        </w:tc>
        <w:tc>
          <w:tcPr>
            <w:tcW w:w="2925" w:type="dxa"/>
            <w:vAlign w:val="center"/>
          </w:tcPr>
          <w:p>
            <w:pPr>
              <w:tabs>
                <w:tab w:val="left" w:pos="7668"/>
                <w:tab w:val="left" w:pos="7810"/>
                <w:tab w:val="left" w:pos="7952"/>
                <w:tab w:val="left" w:pos="8094"/>
                <w:tab w:val="left" w:pos="8236"/>
              </w:tabs>
              <w:autoSpaceDE w:val="0"/>
              <w:autoSpaceDN w:val="0"/>
              <w:adjustRightInd w:val="0"/>
              <w:jc w:val="center"/>
              <w:rPr>
                <w:color w:val="000000" w:themeColor="text1"/>
                <w:szCs w:val="21"/>
              </w:rPr>
            </w:pPr>
          </w:p>
        </w:tc>
        <w:tc>
          <w:tcPr>
            <w:tcW w:w="2310" w:type="dxa"/>
            <w:vAlign w:val="center"/>
          </w:tcPr>
          <w:p>
            <w:pPr>
              <w:jc w:val="center"/>
              <w:rPr>
                <w:color w:val="000000" w:themeColor="text1"/>
                <w:szCs w:val="21"/>
              </w:rPr>
            </w:pPr>
          </w:p>
        </w:tc>
        <w:tc>
          <w:tcPr>
            <w:tcW w:w="795" w:type="dxa"/>
            <w:vAlign w:val="center"/>
          </w:tcPr>
          <w:p>
            <w:pPr>
              <w:jc w:val="center"/>
              <w:rPr>
                <w:color w:val="000000" w:themeColor="text1"/>
                <w:szCs w:val="21"/>
              </w:rPr>
            </w:pPr>
            <w:r>
              <w:rPr>
                <w:color w:val="000000" w:themeColor="text1"/>
                <w:szCs w:val="21"/>
              </w:rPr>
              <w:t>1个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0" w:type="dxa"/>
            <w:right w:w="108" w:type="dxa"/>
          </w:tblCellMar>
        </w:tblPrEx>
        <w:trPr>
          <w:trHeight w:val="367" w:hRule="atLeast"/>
          <w:jc w:val="center"/>
        </w:trPr>
        <w:tc>
          <w:tcPr>
            <w:tcW w:w="2159" w:type="dxa"/>
            <w:vAlign w:val="center"/>
          </w:tcPr>
          <w:p>
            <w:pPr>
              <w:jc w:val="center"/>
              <w:rPr>
                <w:color w:val="000000" w:themeColor="text1"/>
                <w:szCs w:val="21"/>
              </w:rPr>
            </w:pPr>
            <w:r>
              <w:rPr>
                <w:rFonts w:hint="eastAsia"/>
                <w:color w:val="000000" w:themeColor="text1"/>
                <w:szCs w:val="21"/>
              </w:rPr>
              <w:t>监控探头</w:t>
            </w:r>
          </w:p>
        </w:tc>
        <w:tc>
          <w:tcPr>
            <w:tcW w:w="1048" w:type="dxa"/>
            <w:vAlign w:val="center"/>
          </w:tcPr>
          <w:p>
            <w:pPr>
              <w:jc w:val="center"/>
              <w:rPr>
                <w:color w:val="000000" w:themeColor="text1"/>
                <w:szCs w:val="21"/>
              </w:rPr>
            </w:pPr>
          </w:p>
        </w:tc>
        <w:tc>
          <w:tcPr>
            <w:tcW w:w="2925" w:type="dxa"/>
            <w:vAlign w:val="center"/>
          </w:tcPr>
          <w:p>
            <w:pPr>
              <w:tabs>
                <w:tab w:val="left" w:pos="7668"/>
                <w:tab w:val="left" w:pos="7810"/>
                <w:tab w:val="left" w:pos="7952"/>
                <w:tab w:val="left" w:pos="8094"/>
                <w:tab w:val="left" w:pos="8236"/>
              </w:tabs>
              <w:autoSpaceDE w:val="0"/>
              <w:autoSpaceDN w:val="0"/>
              <w:adjustRightInd w:val="0"/>
              <w:jc w:val="center"/>
              <w:rPr>
                <w:color w:val="000000" w:themeColor="text1"/>
                <w:szCs w:val="21"/>
              </w:rPr>
            </w:pPr>
          </w:p>
        </w:tc>
        <w:tc>
          <w:tcPr>
            <w:tcW w:w="2310" w:type="dxa"/>
            <w:vAlign w:val="center"/>
          </w:tcPr>
          <w:p>
            <w:pPr>
              <w:jc w:val="center"/>
              <w:rPr>
                <w:color w:val="000000" w:themeColor="text1"/>
                <w:szCs w:val="21"/>
              </w:rPr>
            </w:pPr>
          </w:p>
        </w:tc>
        <w:tc>
          <w:tcPr>
            <w:tcW w:w="795" w:type="dxa"/>
            <w:vAlign w:val="center"/>
          </w:tcPr>
          <w:p>
            <w:pPr>
              <w:jc w:val="center"/>
              <w:rPr>
                <w:color w:val="000000" w:themeColor="text1"/>
                <w:szCs w:val="21"/>
              </w:rPr>
            </w:pPr>
            <w:r>
              <w:rPr>
                <w:rFonts w:hint="eastAsia"/>
                <w:color w:val="000000" w:themeColor="text1"/>
                <w:szCs w:val="21"/>
              </w:rPr>
              <w:t>5个</w:t>
            </w:r>
          </w:p>
        </w:tc>
      </w:tr>
      <w:bookmarkEnd w:id="514"/>
      <w:bookmarkEnd w:id="515"/>
      <w:bookmarkEnd w:id="516"/>
      <w:bookmarkEnd w:id="517"/>
      <w:bookmarkEnd w:id="518"/>
      <w:bookmarkEnd w:id="519"/>
      <w:bookmarkEnd w:id="520"/>
      <w:bookmarkEnd w:id="521"/>
    </w:tbl>
    <w:p>
      <w:pPr>
        <w:pStyle w:val="19"/>
        <w:spacing w:afterLines="100" w:line="500" w:lineRule="exact"/>
        <w:rPr>
          <w:rFonts w:ascii="黑体" w:hAnsi="宋体" w:eastAsia="黑体"/>
          <w:color w:val="000000" w:themeColor="text1"/>
          <w:kern w:val="3"/>
          <w:sz w:val="28"/>
          <w:szCs w:val="28"/>
        </w:rPr>
      </w:pPr>
      <w:bookmarkStart w:id="522" w:name="_Toc8827"/>
      <w:bookmarkStart w:id="523" w:name="_Toc16459"/>
      <w:bookmarkStart w:id="524" w:name="_Toc3982"/>
      <w:bookmarkStart w:id="525" w:name="_Toc375"/>
      <w:bookmarkStart w:id="526" w:name="_Toc28383"/>
      <w:bookmarkStart w:id="527" w:name="_Toc23377"/>
      <w:bookmarkStart w:id="528" w:name="_Toc3029"/>
      <w:bookmarkStart w:id="529" w:name="_Toc16603"/>
      <w:bookmarkStart w:id="530" w:name="_Toc32629"/>
      <w:bookmarkStart w:id="531" w:name="_Toc1396"/>
      <w:r>
        <w:rPr>
          <w:rFonts w:hint="eastAsia" w:ascii="黑体" w:hAnsi="宋体" w:eastAsia="黑体"/>
          <w:color w:val="000000" w:themeColor="text1"/>
          <w:kern w:val="3"/>
          <w:sz w:val="28"/>
          <w:szCs w:val="28"/>
        </w:rPr>
        <w:t>2.6.2 主要建（构）筑物</w:t>
      </w:r>
      <w:bookmarkEnd w:id="522"/>
      <w:bookmarkEnd w:id="523"/>
      <w:bookmarkEnd w:id="524"/>
      <w:bookmarkEnd w:id="525"/>
      <w:bookmarkEnd w:id="526"/>
      <w:bookmarkEnd w:id="527"/>
      <w:bookmarkEnd w:id="528"/>
      <w:bookmarkEnd w:id="529"/>
      <w:bookmarkEnd w:id="530"/>
      <w:bookmarkEnd w:id="531"/>
    </w:p>
    <w:p>
      <w:pPr>
        <w:adjustRightInd w:val="0"/>
        <w:snapToGrid w:val="0"/>
        <w:spacing w:line="500" w:lineRule="exact"/>
        <w:ind w:firstLine="560" w:firstLineChars="200"/>
        <w:rPr>
          <w:color w:val="000000" w:themeColor="text1"/>
          <w:sz w:val="28"/>
          <w:szCs w:val="28"/>
        </w:rPr>
      </w:pPr>
      <w:r>
        <w:rPr>
          <w:color w:val="000000" w:themeColor="text1"/>
          <w:sz w:val="28"/>
          <w:szCs w:val="28"/>
        </w:rPr>
        <w:t>该项目涉及的主要建（构）筑物情况如下表所示：</w:t>
      </w:r>
    </w:p>
    <w:p>
      <w:pPr>
        <w:jc w:val="center"/>
        <w:rPr>
          <w:color w:val="000000" w:themeColor="text1"/>
          <w:sz w:val="24"/>
        </w:rPr>
      </w:pPr>
      <w:r>
        <w:rPr>
          <w:color w:val="000000" w:themeColor="text1"/>
          <w:sz w:val="24"/>
        </w:rPr>
        <w:t>表2-4 主要建、构筑物一览表</w:t>
      </w:r>
    </w:p>
    <w:tbl>
      <w:tblPr>
        <w:tblStyle w:val="52"/>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238"/>
        <w:gridCol w:w="687"/>
        <w:gridCol w:w="750"/>
        <w:gridCol w:w="988"/>
        <w:gridCol w:w="875"/>
        <w:gridCol w:w="737"/>
        <w:gridCol w:w="688"/>
        <w:gridCol w:w="675"/>
        <w:gridCol w:w="658"/>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71" w:type="dxa"/>
            <w:vAlign w:val="center"/>
          </w:tcPr>
          <w:p>
            <w:pPr>
              <w:spacing w:before="120"/>
              <w:rPr>
                <w:b/>
                <w:color w:val="000000" w:themeColor="text1"/>
                <w:szCs w:val="21"/>
              </w:rPr>
            </w:pPr>
            <w:r>
              <w:rPr>
                <w:b/>
                <w:color w:val="000000" w:themeColor="text1"/>
                <w:szCs w:val="21"/>
              </w:rPr>
              <w:t>序号</w:t>
            </w:r>
          </w:p>
        </w:tc>
        <w:tc>
          <w:tcPr>
            <w:tcW w:w="1238" w:type="dxa"/>
            <w:vAlign w:val="center"/>
          </w:tcPr>
          <w:p>
            <w:pPr>
              <w:adjustRightInd w:val="0"/>
              <w:snapToGrid w:val="0"/>
              <w:spacing w:before="120"/>
              <w:rPr>
                <w:b/>
                <w:color w:val="000000" w:themeColor="text1"/>
                <w:szCs w:val="21"/>
              </w:rPr>
            </w:pPr>
            <w:r>
              <w:rPr>
                <w:b/>
                <w:color w:val="000000" w:themeColor="text1"/>
                <w:szCs w:val="21"/>
              </w:rPr>
              <w:t>建构筑物名称</w:t>
            </w:r>
          </w:p>
        </w:tc>
        <w:tc>
          <w:tcPr>
            <w:tcW w:w="687" w:type="dxa"/>
            <w:vAlign w:val="center"/>
          </w:tcPr>
          <w:p>
            <w:pPr>
              <w:spacing w:before="120"/>
              <w:rPr>
                <w:b/>
                <w:color w:val="000000" w:themeColor="text1"/>
                <w:szCs w:val="21"/>
              </w:rPr>
            </w:pPr>
            <w:r>
              <w:rPr>
                <w:b/>
                <w:color w:val="000000" w:themeColor="text1"/>
                <w:szCs w:val="21"/>
              </w:rPr>
              <w:t>结构</w:t>
            </w:r>
          </w:p>
        </w:tc>
        <w:tc>
          <w:tcPr>
            <w:tcW w:w="750" w:type="dxa"/>
            <w:vAlign w:val="center"/>
          </w:tcPr>
          <w:p>
            <w:pPr>
              <w:spacing w:before="120"/>
              <w:rPr>
                <w:b/>
                <w:color w:val="000000" w:themeColor="text1"/>
                <w:szCs w:val="21"/>
              </w:rPr>
            </w:pPr>
            <w:r>
              <w:rPr>
                <w:b/>
                <w:color w:val="000000" w:themeColor="text1"/>
                <w:szCs w:val="21"/>
              </w:rPr>
              <w:t>层数</w:t>
            </w:r>
          </w:p>
        </w:tc>
        <w:tc>
          <w:tcPr>
            <w:tcW w:w="988" w:type="dxa"/>
            <w:vAlign w:val="center"/>
          </w:tcPr>
          <w:p>
            <w:pPr>
              <w:spacing w:before="120"/>
              <w:rPr>
                <w:b/>
                <w:color w:val="000000" w:themeColor="text1"/>
                <w:szCs w:val="21"/>
              </w:rPr>
            </w:pPr>
            <w:r>
              <w:rPr>
                <w:rFonts w:hint="eastAsia"/>
                <w:b/>
                <w:color w:val="000000" w:themeColor="text1"/>
                <w:szCs w:val="21"/>
              </w:rPr>
              <w:t>建筑</w:t>
            </w:r>
            <w:r>
              <w:rPr>
                <w:b/>
                <w:color w:val="000000" w:themeColor="text1"/>
                <w:szCs w:val="21"/>
              </w:rPr>
              <w:t>面积（</w:t>
            </w:r>
            <w:r>
              <w:rPr>
                <w:color w:val="000000" w:themeColor="text1"/>
                <w:szCs w:val="21"/>
              </w:rPr>
              <w:t>m</w:t>
            </w:r>
            <w:r>
              <w:rPr>
                <w:color w:val="000000" w:themeColor="text1"/>
                <w:szCs w:val="21"/>
                <w:vertAlign w:val="superscript"/>
              </w:rPr>
              <w:t>2</w:t>
            </w:r>
            <w:r>
              <w:rPr>
                <w:b/>
                <w:color w:val="000000" w:themeColor="text1"/>
                <w:szCs w:val="21"/>
              </w:rPr>
              <w:t>）</w:t>
            </w:r>
          </w:p>
        </w:tc>
        <w:tc>
          <w:tcPr>
            <w:tcW w:w="875" w:type="dxa"/>
          </w:tcPr>
          <w:p>
            <w:pPr>
              <w:adjustRightInd w:val="0"/>
              <w:snapToGrid w:val="0"/>
              <w:spacing w:before="120"/>
              <w:rPr>
                <w:b/>
                <w:color w:val="000000" w:themeColor="text1"/>
                <w:szCs w:val="21"/>
              </w:rPr>
            </w:pPr>
            <w:r>
              <w:rPr>
                <w:b/>
                <w:color w:val="000000" w:themeColor="text1"/>
                <w:szCs w:val="21"/>
              </w:rPr>
              <w:t>火灾危险性</w:t>
            </w:r>
          </w:p>
        </w:tc>
        <w:tc>
          <w:tcPr>
            <w:tcW w:w="737" w:type="dxa"/>
            <w:vAlign w:val="center"/>
          </w:tcPr>
          <w:p>
            <w:pPr>
              <w:adjustRightInd w:val="0"/>
              <w:snapToGrid w:val="0"/>
              <w:spacing w:before="120"/>
              <w:rPr>
                <w:b/>
                <w:color w:val="000000" w:themeColor="text1"/>
                <w:szCs w:val="21"/>
              </w:rPr>
            </w:pPr>
            <w:r>
              <w:rPr>
                <w:b/>
                <w:color w:val="000000" w:themeColor="text1"/>
                <w:szCs w:val="21"/>
              </w:rPr>
              <w:t>耐火等级</w:t>
            </w:r>
          </w:p>
        </w:tc>
        <w:tc>
          <w:tcPr>
            <w:tcW w:w="688" w:type="dxa"/>
            <w:vAlign w:val="center"/>
          </w:tcPr>
          <w:p>
            <w:pPr>
              <w:adjustRightInd w:val="0"/>
              <w:snapToGrid w:val="0"/>
              <w:spacing w:before="120"/>
              <w:rPr>
                <w:b/>
                <w:color w:val="000000" w:themeColor="text1"/>
                <w:szCs w:val="21"/>
              </w:rPr>
            </w:pPr>
            <w:r>
              <w:rPr>
                <w:b/>
                <w:color w:val="000000" w:themeColor="text1"/>
                <w:szCs w:val="21"/>
              </w:rPr>
              <w:t>抗震等级</w:t>
            </w:r>
          </w:p>
        </w:tc>
        <w:tc>
          <w:tcPr>
            <w:tcW w:w="675" w:type="dxa"/>
            <w:vAlign w:val="center"/>
          </w:tcPr>
          <w:p>
            <w:pPr>
              <w:spacing w:before="120"/>
              <w:rPr>
                <w:b/>
                <w:color w:val="000000" w:themeColor="text1"/>
                <w:szCs w:val="21"/>
              </w:rPr>
            </w:pPr>
            <w:r>
              <w:rPr>
                <w:b/>
                <w:color w:val="000000" w:themeColor="text1"/>
                <w:szCs w:val="21"/>
              </w:rPr>
              <w:t>通风</w:t>
            </w:r>
          </w:p>
        </w:tc>
        <w:tc>
          <w:tcPr>
            <w:tcW w:w="658" w:type="dxa"/>
            <w:vAlign w:val="center"/>
          </w:tcPr>
          <w:p>
            <w:pPr>
              <w:spacing w:before="120"/>
              <w:rPr>
                <w:b/>
                <w:color w:val="000000" w:themeColor="text1"/>
                <w:szCs w:val="21"/>
              </w:rPr>
            </w:pPr>
            <w:r>
              <w:rPr>
                <w:b/>
                <w:color w:val="000000" w:themeColor="text1"/>
                <w:szCs w:val="21"/>
              </w:rPr>
              <w:t>泄压面积</w:t>
            </w:r>
          </w:p>
        </w:tc>
        <w:tc>
          <w:tcPr>
            <w:tcW w:w="1434" w:type="dxa"/>
            <w:vAlign w:val="center"/>
          </w:tcPr>
          <w:p>
            <w:pPr>
              <w:adjustRightInd w:val="0"/>
              <w:snapToGrid w:val="0"/>
              <w:spacing w:before="120"/>
              <w:rPr>
                <w:b/>
                <w:color w:val="000000" w:themeColor="text1"/>
                <w:szCs w:val="21"/>
              </w:rPr>
            </w:pPr>
            <w:r>
              <w:rPr>
                <w:b/>
                <w:color w:val="000000" w:themeColor="text1"/>
                <w:szCs w:val="21"/>
              </w:rPr>
              <w:t>疏散通道与安全出口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Align w:val="center"/>
          </w:tcPr>
          <w:p>
            <w:pPr>
              <w:spacing w:before="120"/>
              <w:jc w:val="center"/>
              <w:rPr>
                <w:color w:val="000000" w:themeColor="text1"/>
                <w:szCs w:val="21"/>
              </w:rPr>
            </w:pPr>
            <w:r>
              <w:rPr>
                <w:color w:val="000000" w:themeColor="text1"/>
                <w:szCs w:val="21"/>
              </w:rPr>
              <w:t>1</w:t>
            </w:r>
          </w:p>
        </w:tc>
        <w:tc>
          <w:tcPr>
            <w:tcW w:w="1238" w:type="dxa"/>
            <w:vAlign w:val="center"/>
          </w:tcPr>
          <w:p>
            <w:pPr>
              <w:spacing w:before="120"/>
              <w:jc w:val="center"/>
              <w:rPr>
                <w:color w:val="000000" w:themeColor="text1"/>
                <w:szCs w:val="21"/>
              </w:rPr>
            </w:pPr>
            <w:r>
              <w:rPr>
                <w:color w:val="000000" w:themeColor="text1"/>
                <w:szCs w:val="21"/>
              </w:rPr>
              <w:t>辅助用房</w:t>
            </w:r>
          </w:p>
        </w:tc>
        <w:tc>
          <w:tcPr>
            <w:tcW w:w="687" w:type="dxa"/>
            <w:vAlign w:val="center"/>
          </w:tcPr>
          <w:p>
            <w:pPr>
              <w:spacing w:before="120"/>
              <w:jc w:val="center"/>
              <w:rPr>
                <w:color w:val="000000" w:themeColor="text1"/>
                <w:szCs w:val="21"/>
              </w:rPr>
            </w:pPr>
            <w:r>
              <w:rPr>
                <w:color w:val="000000" w:themeColor="text1"/>
                <w:szCs w:val="21"/>
              </w:rPr>
              <w:t>砖混</w:t>
            </w:r>
          </w:p>
        </w:tc>
        <w:tc>
          <w:tcPr>
            <w:tcW w:w="750" w:type="dxa"/>
            <w:vAlign w:val="center"/>
          </w:tcPr>
          <w:p>
            <w:pPr>
              <w:jc w:val="center"/>
              <w:rPr>
                <w:color w:val="000000" w:themeColor="text1"/>
                <w:szCs w:val="21"/>
              </w:rPr>
            </w:pPr>
            <w:r>
              <w:rPr>
                <w:rFonts w:hint="eastAsia"/>
                <w:color w:val="000000" w:themeColor="text1"/>
                <w:szCs w:val="21"/>
              </w:rPr>
              <w:t>二</w:t>
            </w:r>
            <w:r>
              <w:rPr>
                <w:color w:val="000000" w:themeColor="text1"/>
                <w:szCs w:val="21"/>
              </w:rPr>
              <w:t>层</w:t>
            </w:r>
          </w:p>
        </w:tc>
        <w:tc>
          <w:tcPr>
            <w:tcW w:w="988" w:type="dxa"/>
            <w:vAlign w:val="center"/>
          </w:tcPr>
          <w:p>
            <w:pPr>
              <w:spacing w:before="120"/>
              <w:jc w:val="center"/>
              <w:rPr>
                <w:color w:val="000000" w:themeColor="text1"/>
                <w:szCs w:val="21"/>
              </w:rPr>
            </w:pPr>
            <w:r>
              <w:rPr>
                <w:rFonts w:hint="eastAsia"/>
                <w:color w:val="000000" w:themeColor="text1"/>
                <w:szCs w:val="21"/>
              </w:rPr>
              <w:t>60</w:t>
            </w:r>
          </w:p>
        </w:tc>
        <w:tc>
          <w:tcPr>
            <w:tcW w:w="875" w:type="dxa"/>
            <w:vAlign w:val="center"/>
          </w:tcPr>
          <w:p>
            <w:pPr>
              <w:spacing w:before="120"/>
              <w:jc w:val="center"/>
              <w:rPr>
                <w:color w:val="000000" w:themeColor="text1"/>
                <w:szCs w:val="21"/>
              </w:rPr>
            </w:pPr>
            <w:r>
              <w:rPr>
                <w:color w:val="000000" w:themeColor="text1"/>
                <w:szCs w:val="21"/>
              </w:rPr>
              <w:t>-</w:t>
            </w:r>
          </w:p>
        </w:tc>
        <w:tc>
          <w:tcPr>
            <w:tcW w:w="737" w:type="dxa"/>
            <w:vAlign w:val="center"/>
          </w:tcPr>
          <w:p>
            <w:pPr>
              <w:spacing w:before="120"/>
              <w:jc w:val="center"/>
              <w:rPr>
                <w:color w:val="000000" w:themeColor="text1"/>
                <w:szCs w:val="21"/>
              </w:rPr>
            </w:pPr>
            <w:r>
              <w:rPr>
                <w:color w:val="000000" w:themeColor="text1"/>
                <w:szCs w:val="21"/>
              </w:rPr>
              <w:t>二级</w:t>
            </w:r>
          </w:p>
        </w:tc>
        <w:tc>
          <w:tcPr>
            <w:tcW w:w="688" w:type="dxa"/>
            <w:vAlign w:val="center"/>
          </w:tcPr>
          <w:p>
            <w:pPr>
              <w:spacing w:before="120"/>
              <w:jc w:val="center"/>
              <w:rPr>
                <w:color w:val="000000" w:themeColor="text1"/>
                <w:szCs w:val="21"/>
              </w:rPr>
            </w:pPr>
            <w:r>
              <w:rPr>
                <w:color w:val="000000" w:themeColor="text1"/>
                <w:szCs w:val="21"/>
              </w:rPr>
              <w:t>丙级</w:t>
            </w:r>
          </w:p>
        </w:tc>
        <w:tc>
          <w:tcPr>
            <w:tcW w:w="675" w:type="dxa"/>
            <w:vAlign w:val="center"/>
          </w:tcPr>
          <w:p>
            <w:pPr>
              <w:spacing w:before="120"/>
              <w:jc w:val="center"/>
              <w:rPr>
                <w:color w:val="000000" w:themeColor="text1"/>
                <w:szCs w:val="21"/>
              </w:rPr>
            </w:pPr>
            <w:r>
              <w:rPr>
                <w:color w:val="000000" w:themeColor="text1"/>
                <w:szCs w:val="21"/>
              </w:rPr>
              <w:t>自然通风</w:t>
            </w:r>
          </w:p>
        </w:tc>
        <w:tc>
          <w:tcPr>
            <w:tcW w:w="658" w:type="dxa"/>
            <w:vAlign w:val="center"/>
          </w:tcPr>
          <w:p>
            <w:pPr>
              <w:spacing w:before="120"/>
              <w:jc w:val="center"/>
              <w:rPr>
                <w:color w:val="000000" w:themeColor="text1"/>
                <w:szCs w:val="21"/>
              </w:rPr>
            </w:pPr>
            <w:r>
              <w:rPr>
                <w:color w:val="000000" w:themeColor="text1"/>
                <w:szCs w:val="21"/>
              </w:rPr>
              <w:t>-</w:t>
            </w:r>
          </w:p>
        </w:tc>
        <w:tc>
          <w:tcPr>
            <w:tcW w:w="1434" w:type="dxa"/>
            <w:vAlign w:val="center"/>
          </w:tcPr>
          <w:p>
            <w:pPr>
              <w:adjustRightInd w:val="0"/>
              <w:snapToGrid w:val="0"/>
              <w:spacing w:before="120"/>
              <w:rPr>
                <w:color w:val="000000" w:themeColor="text1"/>
                <w:szCs w:val="21"/>
              </w:rPr>
            </w:pPr>
            <w:r>
              <w:rPr>
                <w:color w:val="000000" w:themeColor="text1"/>
                <w:szCs w:val="21"/>
              </w:rPr>
              <w:t>设置一个安全出口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Align w:val="center"/>
          </w:tcPr>
          <w:p>
            <w:pPr>
              <w:spacing w:before="120"/>
              <w:jc w:val="center"/>
              <w:rPr>
                <w:color w:val="000000" w:themeColor="text1"/>
                <w:szCs w:val="21"/>
              </w:rPr>
            </w:pPr>
            <w:r>
              <w:rPr>
                <w:color w:val="000000" w:themeColor="text1"/>
                <w:szCs w:val="21"/>
              </w:rPr>
              <w:t>2</w:t>
            </w:r>
          </w:p>
        </w:tc>
        <w:tc>
          <w:tcPr>
            <w:tcW w:w="1238" w:type="dxa"/>
            <w:vAlign w:val="center"/>
          </w:tcPr>
          <w:p>
            <w:pPr>
              <w:spacing w:before="120"/>
              <w:jc w:val="center"/>
              <w:rPr>
                <w:color w:val="000000" w:themeColor="text1"/>
                <w:szCs w:val="21"/>
              </w:rPr>
            </w:pPr>
            <w:r>
              <w:rPr>
                <w:color w:val="000000" w:themeColor="text1"/>
                <w:szCs w:val="21"/>
              </w:rPr>
              <w:t>办公楼</w:t>
            </w:r>
          </w:p>
        </w:tc>
        <w:tc>
          <w:tcPr>
            <w:tcW w:w="687" w:type="dxa"/>
            <w:vAlign w:val="center"/>
          </w:tcPr>
          <w:p>
            <w:pPr>
              <w:spacing w:before="120"/>
              <w:jc w:val="center"/>
              <w:rPr>
                <w:color w:val="000000" w:themeColor="text1"/>
                <w:szCs w:val="21"/>
              </w:rPr>
            </w:pPr>
            <w:r>
              <w:rPr>
                <w:color w:val="000000" w:themeColor="text1"/>
                <w:szCs w:val="21"/>
              </w:rPr>
              <w:t>砖混</w:t>
            </w:r>
          </w:p>
        </w:tc>
        <w:tc>
          <w:tcPr>
            <w:tcW w:w="750" w:type="dxa"/>
            <w:vAlign w:val="center"/>
          </w:tcPr>
          <w:p>
            <w:pPr>
              <w:spacing w:before="120"/>
              <w:jc w:val="center"/>
              <w:rPr>
                <w:color w:val="000000" w:themeColor="text1"/>
                <w:szCs w:val="21"/>
              </w:rPr>
            </w:pPr>
            <w:r>
              <w:rPr>
                <w:rFonts w:hint="eastAsia"/>
                <w:color w:val="000000" w:themeColor="text1"/>
                <w:szCs w:val="21"/>
              </w:rPr>
              <w:t>一侧</w:t>
            </w:r>
            <w:r>
              <w:rPr>
                <w:color w:val="000000" w:themeColor="text1"/>
                <w:szCs w:val="21"/>
              </w:rPr>
              <w:t>层</w:t>
            </w:r>
          </w:p>
        </w:tc>
        <w:tc>
          <w:tcPr>
            <w:tcW w:w="988" w:type="dxa"/>
            <w:vAlign w:val="center"/>
          </w:tcPr>
          <w:p>
            <w:pPr>
              <w:spacing w:before="120"/>
              <w:jc w:val="center"/>
              <w:rPr>
                <w:color w:val="000000" w:themeColor="text1"/>
                <w:szCs w:val="21"/>
              </w:rPr>
            </w:pPr>
            <w:r>
              <w:rPr>
                <w:rFonts w:hint="eastAsia"/>
                <w:color w:val="000000" w:themeColor="text1"/>
                <w:szCs w:val="21"/>
              </w:rPr>
              <w:t>35</w:t>
            </w:r>
          </w:p>
        </w:tc>
        <w:tc>
          <w:tcPr>
            <w:tcW w:w="875" w:type="dxa"/>
            <w:vAlign w:val="center"/>
          </w:tcPr>
          <w:p>
            <w:pPr>
              <w:spacing w:before="120"/>
              <w:jc w:val="center"/>
              <w:rPr>
                <w:color w:val="000000" w:themeColor="text1"/>
                <w:szCs w:val="21"/>
              </w:rPr>
            </w:pPr>
            <w:r>
              <w:rPr>
                <w:color w:val="000000" w:themeColor="text1"/>
                <w:szCs w:val="21"/>
              </w:rPr>
              <w:t>戊</w:t>
            </w:r>
          </w:p>
        </w:tc>
        <w:tc>
          <w:tcPr>
            <w:tcW w:w="737" w:type="dxa"/>
            <w:vAlign w:val="center"/>
          </w:tcPr>
          <w:p>
            <w:pPr>
              <w:spacing w:before="120"/>
              <w:jc w:val="center"/>
              <w:rPr>
                <w:color w:val="000000" w:themeColor="text1"/>
                <w:szCs w:val="21"/>
              </w:rPr>
            </w:pPr>
            <w:r>
              <w:rPr>
                <w:color w:val="000000" w:themeColor="text1"/>
                <w:szCs w:val="21"/>
              </w:rPr>
              <w:t>二级</w:t>
            </w:r>
          </w:p>
        </w:tc>
        <w:tc>
          <w:tcPr>
            <w:tcW w:w="688" w:type="dxa"/>
            <w:vAlign w:val="center"/>
          </w:tcPr>
          <w:p>
            <w:pPr>
              <w:spacing w:before="120"/>
              <w:jc w:val="center"/>
              <w:rPr>
                <w:color w:val="000000" w:themeColor="text1"/>
                <w:szCs w:val="21"/>
              </w:rPr>
            </w:pPr>
            <w:r>
              <w:rPr>
                <w:color w:val="000000" w:themeColor="text1"/>
                <w:szCs w:val="21"/>
              </w:rPr>
              <w:t>丙级</w:t>
            </w:r>
          </w:p>
        </w:tc>
        <w:tc>
          <w:tcPr>
            <w:tcW w:w="675" w:type="dxa"/>
            <w:vAlign w:val="center"/>
          </w:tcPr>
          <w:p>
            <w:pPr>
              <w:spacing w:before="120"/>
              <w:jc w:val="center"/>
              <w:rPr>
                <w:color w:val="000000" w:themeColor="text1"/>
                <w:szCs w:val="21"/>
              </w:rPr>
            </w:pPr>
            <w:r>
              <w:rPr>
                <w:color w:val="000000" w:themeColor="text1"/>
                <w:szCs w:val="21"/>
              </w:rPr>
              <w:t>自然通风</w:t>
            </w:r>
          </w:p>
        </w:tc>
        <w:tc>
          <w:tcPr>
            <w:tcW w:w="658" w:type="dxa"/>
            <w:vAlign w:val="center"/>
          </w:tcPr>
          <w:p>
            <w:pPr>
              <w:spacing w:before="120"/>
              <w:jc w:val="center"/>
              <w:rPr>
                <w:color w:val="000000" w:themeColor="text1"/>
                <w:szCs w:val="21"/>
              </w:rPr>
            </w:pPr>
            <w:r>
              <w:rPr>
                <w:color w:val="000000" w:themeColor="text1"/>
                <w:szCs w:val="21"/>
              </w:rPr>
              <w:t>-</w:t>
            </w:r>
          </w:p>
        </w:tc>
        <w:tc>
          <w:tcPr>
            <w:tcW w:w="1434" w:type="dxa"/>
            <w:vAlign w:val="center"/>
          </w:tcPr>
          <w:p>
            <w:pPr>
              <w:adjustRightInd w:val="0"/>
              <w:snapToGrid w:val="0"/>
              <w:spacing w:before="120"/>
              <w:rPr>
                <w:color w:val="000000" w:themeColor="text1"/>
                <w:szCs w:val="21"/>
              </w:rPr>
            </w:pPr>
            <w:r>
              <w:rPr>
                <w:color w:val="000000" w:themeColor="text1"/>
                <w:szCs w:val="21"/>
              </w:rPr>
              <w:t>设置一个安全出口</w:t>
            </w:r>
          </w:p>
        </w:tc>
      </w:tr>
    </w:tbl>
    <w:p>
      <w:pPr>
        <w:pStyle w:val="19"/>
        <w:spacing w:afterLines="100" w:line="500" w:lineRule="exact"/>
        <w:rPr>
          <w:rFonts w:ascii="黑体" w:hAnsi="宋体" w:eastAsia="黑体"/>
          <w:color w:val="000000" w:themeColor="text1"/>
          <w:kern w:val="3"/>
          <w:sz w:val="28"/>
          <w:szCs w:val="28"/>
        </w:rPr>
      </w:pPr>
      <w:bookmarkStart w:id="532" w:name="_Toc18757"/>
      <w:bookmarkStart w:id="533" w:name="_Toc6221"/>
      <w:bookmarkStart w:id="534" w:name="_Toc23474"/>
      <w:bookmarkStart w:id="535" w:name="_Toc23379"/>
      <w:bookmarkStart w:id="536" w:name="_Toc30285"/>
      <w:bookmarkStart w:id="537" w:name="_Toc7342"/>
      <w:bookmarkStart w:id="538" w:name="_Toc1280"/>
      <w:bookmarkStart w:id="539" w:name="_Toc2129"/>
      <w:bookmarkStart w:id="540" w:name="_Toc25851"/>
      <w:bookmarkStart w:id="541" w:name="_Toc22682"/>
      <w:bookmarkStart w:id="542" w:name="_Toc28419"/>
      <w:r>
        <w:rPr>
          <w:rFonts w:hint="eastAsia" w:ascii="黑体" w:hAnsi="宋体" w:eastAsia="黑体"/>
          <w:color w:val="000000" w:themeColor="text1"/>
          <w:kern w:val="3"/>
          <w:sz w:val="28"/>
          <w:szCs w:val="28"/>
        </w:rPr>
        <w:t>2.6.3 监测监控设施</w:t>
      </w:r>
      <w:bookmarkEnd w:id="532"/>
      <w:bookmarkEnd w:id="533"/>
      <w:bookmarkEnd w:id="534"/>
      <w:bookmarkEnd w:id="535"/>
      <w:bookmarkEnd w:id="536"/>
      <w:bookmarkEnd w:id="537"/>
      <w:bookmarkEnd w:id="538"/>
      <w:bookmarkEnd w:id="539"/>
      <w:bookmarkEnd w:id="540"/>
    </w:p>
    <w:p>
      <w:pPr>
        <w:pStyle w:val="51"/>
        <w:rPr>
          <w:rFonts w:ascii="Times New Roman" w:hAnsi="Times New Roman"/>
          <w:color w:val="000000" w:themeColor="text1"/>
        </w:rPr>
      </w:pPr>
      <w:r>
        <w:rPr>
          <w:rFonts w:ascii="Times New Roman" w:hAnsi="Times New Roman"/>
          <w:color w:val="000000" w:themeColor="text1"/>
        </w:rPr>
        <w:t>项目</w:t>
      </w:r>
      <w:r>
        <w:rPr>
          <w:rFonts w:hint="eastAsia" w:ascii="Times New Roman" w:hAnsi="Times New Roman"/>
          <w:color w:val="000000" w:themeColor="text1"/>
        </w:rPr>
        <w:t>在整个公司区域内共设置</w:t>
      </w:r>
      <w:r>
        <w:rPr>
          <w:rFonts w:hint="eastAsia" w:ascii="Times New Roman" w:hAnsi="Times New Roman"/>
          <w:color w:val="000000" w:themeColor="text1"/>
          <w:lang w:val="en-US" w:eastAsia="zh-CN"/>
        </w:rPr>
        <w:t>6</w:t>
      </w:r>
      <w:r>
        <w:rPr>
          <w:rFonts w:hint="eastAsia" w:ascii="Times New Roman" w:hAnsi="Times New Roman"/>
          <w:color w:val="000000" w:themeColor="text1"/>
        </w:rPr>
        <w:t>个监控探头，</w:t>
      </w:r>
      <w:r>
        <w:rPr>
          <w:rFonts w:ascii="Times New Roman" w:hAnsi="Times New Roman"/>
          <w:color w:val="000000" w:themeColor="text1"/>
        </w:rPr>
        <w:t>视频监控</w:t>
      </w:r>
      <w:r>
        <w:rPr>
          <w:rFonts w:hint="eastAsia" w:ascii="Times New Roman" w:hAnsi="Times New Roman"/>
          <w:color w:val="000000" w:themeColor="text1"/>
        </w:rPr>
        <w:t>统一设置在办公室内</w:t>
      </w:r>
      <w:r>
        <w:rPr>
          <w:rFonts w:hint="eastAsia" w:ascii="Times New Roman" w:hAnsi="Times New Roman"/>
          <w:color w:val="000000" w:themeColor="text1"/>
          <w:lang w:eastAsia="zh-CN"/>
        </w:rPr>
        <w:t>，</w:t>
      </w:r>
      <w:r>
        <w:rPr>
          <w:rFonts w:hint="eastAsia" w:ascii="Times New Roman" w:hAnsi="Times New Roman"/>
          <w:color w:val="000000" w:themeColor="text1"/>
          <w:lang w:val="en-US" w:eastAsia="zh-CN"/>
        </w:rPr>
        <w:t>经现场业主介绍视频最大储存天数为90天。</w:t>
      </w:r>
      <w:r>
        <w:rPr>
          <w:rFonts w:hint="eastAsia" w:ascii="Times New Roman" w:hAnsi="Times New Roman"/>
          <w:color w:val="000000" w:themeColor="text1"/>
        </w:rPr>
        <w:t>办公室设置储罐</w:t>
      </w:r>
      <w:r>
        <w:rPr>
          <w:rFonts w:ascii="Times New Roman" w:hAnsi="Times New Roman"/>
          <w:color w:val="000000" w:themeColor="text1"/>
        </w:rPr>
        <w:t>高液位报警</w:t>
      </w:r>
      <w:r>
        <w:rPr>
          <w:rFonts w:hint="eastAsia" w:ascii="Times New Roman" w:hAnsi="Times New Roman"/>
          <w:color w:val="000000" w:themeColor="text1"/>
        </w:rPr>
        <w:t>装置，现场检查储罐</w:t>
      </w:r>
      <w:r>
        <w:rPr>
          <w:rFonts w:ascii="Times New Roman" w:hAnsi="Times New Roman"/>
          <w:color w:val="000000" w:themeColor="text1"/>
        </w:rPr>
        <w:t>高液位报警</w:t>
      </w:r>
      <w:r>
        <w:rPr>
          <w:rFonts w:hint="eastAsia" w:ascii="Times New Roman" w:hAnsi="Times New Roman"/>
          <w:color w:val="000000" w:themeColor="text1"/>
        </w:rPr>
        <w:t>装置无信号</w:t>
      </w:r>
      <w:r>
        <w:rPr>
          <w:rFonts w:ascii="Times New Roman" w:hAnsi="Times New Roman"/>
          <w:color w:val="000000" w:themeColor="text1"/>
        </w:rPr>
        <w:t>。</w:t>
      </w:r>
    </w:p>
    <w:p>
      <w:pPr>
        <w:pStyle w:val="19"/>
        <w:spacing w:afterLines="100" w:line="500" w:lineRule="exact"/>
        <w:jc w:val="center"/>
        <w:rPr>
          <w:rFonts w:ascii="楷体_GB2312" w:hAnsi="宋体" w:eastAsia="楷体_GB2312"/>
          <w:color w:val="000000" w:themeColor="text1"/>
          <w:kern w:val="3"/>
        </w:rPr>
      </w:pPr>
      <w:bookmarkStart w:id="543" w:name="_Toc8384"/>
      <w:bookmarkStart w:id="544" w:name="_Toc22318"/>
      <w:bookmarkStart w:id="545" w:name="_Toc23664"/>
      <w:bookmarkStart w:id="546" w:name="_Toc30535"/>
      <w:bookmarkStart w:id="547" w:name="_Toc20071_WPSOffice_Level2"/>
      <w:bookmarkStart w:id="548" w:name="_Toc9187"/>
      <w:bookmarkStart w:id="549" w:name="_Toc32310"/>
      <w:bookmarkStart w:id="550" w:name="_Toc28075"/>
      <w:bookmarkStart w:id="551" w:name="_Toc16150"/>
      <w:bookmarkStart w:id="552" w:name="_Toc12577"/>
      <w:bookmarkStart w:id="553" w:name="_Toc300"/>
      <w:bookmarkStart w:id="554" w:name="_Toc20374"/>
      <w:bookmarkStart w:id="555" w:name="_Toc31188"/>
      <w:bookmarkStart w:id="556" w:name="_Toc5157"/>
      <w:r>
        <w:rPr>
          <w:rFonts w:hint="eastAsia" w:ascii="楷体_GB2312" w:hAnsi="宋体" w:eastAsia="楷体_GB2312"/>
          <w:color w:val="000000" w:themeColor="text1"/>
          <w:kern w:val="3"/>
        </w:rPr>
        <w:t>2.7 公用工程及辅助设施</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pStyle w:val="19"/>
        <w:spacing w:afterLines="100" w:line="500" w:lineRule="exact"/>
        <w:rPr>
          <w:rFonts w:ascii="黑体" w:hAnsi="宋体" w:eastAsia="黑体"/>
          <w:color w:val="000000" w:themeColor="text1"/>
          <w:kern w:val="3"/>
          <w:sz w:val="28"/>
          <w:szCs w:val="28"/>
        </w:rPr>
      </w:pPr>
      <w:bookmarkStart w:id="557" w:name="_Toc10132"/>
      <w:bookmarkStart w:id="558" w:name="_Toc7883"/>
      <w:bookmarkStart w:id="559" w:name="_Toc8779"/>
      <w:bookmarkStart w:id="560" w:name="_Toc7650"/>
      <w:bookmarkStart w:id="561" w:name="_Toc25862"/>
      <w:bookmarkStart w:id="562" w:name="_Toc23605"/>
      <w:bookmarkStart w:id="563" w:name="_Toc12325"/>
      <w:bookmarkStart w:id="564" w:name="_Toc1794"/>
      <w:bookmarkStart w:id="565" w:name="_Toc15142"/>
      <w:bookmarkStart w:id="566" w:name="_Toc27750"/>
      <w:r>
        <w:rPr>
          <w:rFonts w:hint="eastAsia" w:ascii="黑体" w:hAnsi="宋体" w:eastAsia="黑体"/>
          <w:color w:val="000000" w:themeColor="text1"/>
          <w:kern w:val="3"/>
          <w:sz w:val="28"/>
          <w:szCs w:val="28"/>
        </w:rPr>
        <w:t>2.7.1 供配电</w:t>
      </w:r>
      <w:bookmarkEnd w:id="557"/>
      <w:bookmarkEnd w:id="558"/>
      <w:bookmarkEnd w:id="559"/>
      <w:bookmarkEnd w:id="560"/>
      <w:bookmarkEnd w:id="561"/>
      <w:bookmarkEnd w:id="562"/>
      <w:bookmarkEnd w:id="563"/>
      <w:bookmarkEnd w:id="564"/>
      <w:bookmarkEnd w:id="565"/>
      <w:bookmarkEnd w:id="566"/>
    </w:p>
    <w:p>
      <w:pPr>
        <w:adjustRightInd w:val="0"/>
        <w:snapToGrid w:val="0"/>
        <w:spacing w:line="500" w:lineRule="exact"/>
        <w:ind w:firstLine="560" w:firstLineChars="200"/>
        <w:rPr>
          <w:color w:val="000000" w:themeColor="text1"/>
          <w:sz w:val="28"/>
          <w:szCs w:val="28"/>
        </w:rPr>
      </w:pPr>
      <w:r>
        <w:rPr>
          <w:rFonts w:hint="eastAsia"/>
          <w:color w:val="000000" w:themeColor="text1"/>
          <w:sz w:val="28"/>
          <w:szCs w:val="28"/>
        </w:rPr>
        <w:t>公司电源从供电所380V/220V进入公司内配电箱，再送各用电设备。采用电缆敷设至各用电设备、设施，出配电箱的电缆独立敷设。穿越行车道的采用钢管保护</w:t>
      </w:r>
      <w:r>
        <w:rPr>
          <w:color w:val="000000" w:themeColor="text1"/>
          <w:sz w:val="28"/>
          <w:szCs w:val="28"/>
        </w:rPr>
        <w:t>；该项目用电负荷等级为三级。</w:t>
      </w:r>
    </w:p>
    <w:p>
      <w:pPr>
        <w:adjustRightInd w:val="0"/>
        <w:snapToGrid w:val="0"/>
        <w:spacing w:line="500" w:lineRule="exact"/>
        <w:ind w:firstLine="560" w:firstLineChars="200"/>
        <w:rPr>
          <w:color w:val="000000" w:themeColor="text1"/>
          <w:sz w:val="28"/>
          <w:szCs w:val="28"/>
        </w:rPr>
      </w:pPr>
      <w:r>
        <w:rPr>
          <w:color w:val="000000" w:themeColor="text1"/>
          <w:sz w:val="28"/>
          <w:szCs w:val="28"/>
        </w:rPr>
        <w:t>该项目</w:t>
      </w:r>
      <w:r>
        <w:rPr>
          <w:rFonts w:hint="eastAsia"/>
          <w:color w:val="000000" w:themeColor="text1"/>
          <w:sz w:val="28"/>
          <w:szCs w:val="28"/>
        </w:rPr>
        <w:t>在公司区域内设置了4</w:t>
      </w:r>
      <w:r>
        <w:rPr>
          <w:color w:val="000000" w:themeColor="text1"/>
          <w:sz w:val="28"/>
          <w:szCs w:val="28"/>
        </w:rPr>
        <w:t>盏防爆照明灯具，防护等级不低于IP44级，应急时间不小于30min。</w:t>
      </w:r>
    </w:p>
    <w:p>
      <w:pPr>
        <w:pStyle w:val="19"/>
        <w:spacing w:afterLines="100" w:line="500" w:lineRule="exact"/>
        <w:rPr>
          <w:rFonts w:ascii="黑体" w:hAnsi="宋体" w:eastAsia="黑体"/>
          <w:color w:val="000000" w:themeColor="text1"/>
          <w:kern w:val="3"/>
          <w:sz w:val="28"/>
          <w:szCs w:val="28"/>
        </w:rPr>
      </w:pPr>
      <w:bookmarkStart w:id="567" w:name="_Toc26469"/>
      <w:bookmarkStart w:id="568" w:name="_Toc24066"/>
      <w:bookmarkStart w:id="569" w:name="_Toc15529"/>
      <w:bookmarkStart w:id="570" w:name="_Toc9348"/>
      <w:bookmarkStart w:id="571" w:name="_Toc17236"/>
      <w:bookmarkStart w:id="572" w:name="_Toc2822"/>
      <w:bookmarkStart w:id="573" w:name="_Toc2459"/>
      <w:bookmarkStart w:id="574" w:name="_Toc4551"/>
      <w:bookmarkStart w:id="575" w:name="_Toc21742"/>
      <w:bookmarkStart w:id="576" w:name="_Toc6943"/>
      <w:r>
        <w:rPr>
          <w:rFonts w:hint="eastAsia" w:ascii="黑体" w:hAnsi="宋体" w:eastAsia="黑体"/>
          <w:color w:val="000000" w:themeColor="text1"/>
          <w:kern w:val="3"/>
          <w:sz w:val="28"/>
          <w:szCs w:val="28"/>
        </w:rPr>
        <w:t>2.7.2给排水</w:t>
      </w:r>
      <w:bookmarkEnd w:id="567"/>
      <w:bookmarkEnd w:id="568"/>
      <w:bookmarkEnd w:id="569"/>
      <w:bookmarkEnd w:id="570"/>
      <w:bookmarkEnd w:id="571"/>
      <w:bookmarkEnd w:id="572"/>
      <w:bookmarkEnd w:id="573"/>
      <w:bookmarkEnd w:id="574"/>
      <w:bookmarkEnd w:id="575"/>
      <w:bookmarkEnd w:id="576"/>
    </w:p>
    <w:p>
      <w:pPr>
        <w:pStyle w:val="28"/>
        <w:rPr>
          <w:color w:val="000000" w:themeColor="text1"/>
          <w:szCs w:val="28"/>
        </w:rPr>
      </w:pPr>
      <w:r>
        <w:rPr>
          <w:rFonts w:hint="eastAsia"/>
          <w:color w:val="000000" w:themeColor="text1"/>
          <w:szCs w:val="28"/>
        </w:rPr>
        <w:t>1.供水</w:t>
      </w:r>
    </w:p>
    <w:p>
      <w:pPr>
        <w:pStyle w:val="28"/>
        <w:rPr>
          <w:color w:val="000000" w:themeColor="text1"/>
          <w:szCs w:val="28"/>
        </w:rPr>
      </w:pPr>
      <w:r>
        <w:rPr>
          <w:rFonts w:hint="eastAsia"/>
          <w:color w:val="000000" w:themeColor="text1"/>
          <w:szCs w:val="28"/>
        </w:rPr>
        <w:t>公司用水采用金属管接乡镇供水管网至各用水点，每天冲洗地坪、站区绿化、员工生活等用水预计最大为5m</w:t>
      </w:r>
      <w:r>
        <w:rPr>
          <w:rFonts w:hint="eastAsia"/>
          <w:color w:val="000000" w:themeColor="text1"/>
          <w:szCs w:val="28"/>
          <w:vertAlign w:val="superscript"/>
        </w:rPr>
        <w:t>3</w:t>
      </w:r>
      <w:r>
        <w:rPr>
          <w:rFonts w:hint="eastAsia"/>
          <w:color w:val="000000" w:themeColor="text1"/>
          <w:szCs w:val="28"/>
        </w:rPr>
        <w:t>/天，供水能够满足需要。</w:t>
      </w:r>
    </w:p>
    <w:p>
      <w:pPr>
        <w:pStyle w:val="28"/>
        <w:outlineLvl w:val="0"/>
        <w:rPr>
          <w:color w:val="000000" w:themeColor="text1"/>
          <w:szCs w:val="28"/>
        </w:rPr>
      </w:pPr>
      <w:bookmarkStart w:id="577" w:name="_Toc454179982"/>
      <w:bookmarkStart w:id="578" w:name="_Toc426375905"/>
      <w:bookmarkStart w:id="579" w:name="_Toc482780821"/>
      <w:bookmarkStart w:id="580" w:name="_Toc10555280"/>
      <w:bookmarkStart w:id="581" w:name="_Toc482694049"/>
      <w:bookmarkStart w:id="582" w:name="_Toc10537907"/>
      <w:bookmarkStart w:id="583" w:name="_Toc481478522"/>
      <w:bookmarkStart w:id="584" w:name="_Toc482780700"/>
      <w:bookmarkStart w:id="585" w:name="_Toc481140737"/>
      <w:bookmarkStart w:id="586" w:name="_Toc452131051"/>
      <w:r>
        <w:rPr>
          <w:rFonts w:hint="eastAsia"/>
          <w:color w:val="000000" w:themeColor="text1"/>
          <w:szCs w:val="28"/>
        </w:rPr>
        <w:t>2.排水</w:t>
      </w:r>
      <w:bookmarkEnd w:id="577"/>
      <w:bookmarkEnd w:id="578"/>
      <w:bookmarkEnd w:id="579"/>
      <w:bookmarkEnd w:id="580"/>
      <w:bookmarkEnd w:id="581"/>
      <w:bookmarkEnd w:id="582"/>
      <w:bookmarkEnd w:id="583"/>
      <w:bookmarkEnd w:id="584"/>
      <w:bookmarkEnd w:id="585"/>
      <w:bookmarkEnd w:id="586"/>
    </w:p>
    <w:p>
      <w:pPr>
        <w:adjustRightInd w:val="0"/>
        <w:snapToGrid w:val="0"/>
        <w:spacing w:line="500" w:lineRule="exact"/>
        <w:ind w:firstLine="560" w:firstLineChars="200"/>
        <w:rPr>
          <w:snapToGrid w:val="0"/>
          <w:color w:val="000000" w:themeColor="text1"/>
          <w:kern w:val="0"/>
          <w:sz w:val="28"/>
          <w:szCs w:val="28"/>
        </w:rPr>
      </w:pPr>
      <w:r>
        <w:rPr>
          <w:rFonts w:hint="eastAsia" w:ascii="宋体" w:hAnsi="宋体"/>
          <w:color w:val="000000" w:themeColor="text1"/>
          <w:sz w:val="28"/>
          <w:szCs w:val="28"/>
        </w:rPr>
        <w:t>公司雨水及生活污水，经公司雨水沟收集后，排至站外排水沟</w:t>
      </w:r>
      <w:r>
        <w:rPr>
          <w:snapToGrid w:val="0"/>
          <w:color w:val="000000" w:themeColor="text1"/>
          <w:kern w:val="0"/>
          <w:sz w:val="28"/>
          <w:szCs w:val="28"/>
        </w:rPr>
        <w:t>。</w:t>
      </w:r>
    </w:p>
    <w:p>
      <w:pPr>
        <w:pStyle w:val="19"/>
        <w:spacing w:afterLines="100" w:line="500" w:lineRule="exact"/>
        <w:rPr>
          <w:rFonts w:ascii="黑体" w:hAnsi="宋体" w:eastAsia="黑体"/>
          <w:color w:val="000000" w:themeColor="text1"/>
          <w:kern w:val="3"/>
          <w:sz w:val="28"/>
          <w:szCs w:val="28"/>
        </w:rPr>
      </w:pPr>
      <w:bookmarkStart w:id="587" w:name="_Toc2143"/>
      <w:bookmarkStart w:id="588" w:name="_Toc396"/>
      <w:bookmarkStart w:id="589" w:name="_Toc22338"/>
      <w:bookmarkStart w:id="590" w:name="_Toc16050"/>
      <w:bookmarkStart w:id="591" w:name="_Toc4691"/>
      <w:bookmarkStart w:id="592" w:name="_Toc15635"/>
      <w:bookmarkStart w:id="593" w:name="_Toc1217"/>
      <w:bookmarkStart w:id="594" w:name="_Toc8389"/>
      <w:bookmarkStart w:id="595" w:name="_Toc30424"/>
      <w:bookmarkStart w:id="596" w:name="_Toc25336"/>
      <w:r>
        <w:rPr>
          <w:rFonts w:hint="eastAsia" w:ascii="黑体" w:hAnsi="宋体" w:eastAsia="黑体"/>
          <w:color w:val="000000" w:themeColor="text1"/>
          <w:kern w:val="3"/>
          <w:sz w:val="28"/>
          <w:szCs w:val="28"/>
        </w:rPr>
        <w:t>2.7.3防雷</w:t>
      </w:r>
      <w:bookmarkEnd w:id="587"/>
      <w:bookmarkEnd w:id="588"/>
      <w:bookmarkEnd w:id="589"/>
      <w:bookmarkEnd w:id="590"/>
      <w:bookmarkEnd w:id="591"/>
      <w:bookmarkEnd w:id="592"/>
      <w:bookmarkEnd w:id="593"/>
      <w:bookmarkEnd w:id="594"/>
      <w:bookmarkEnd w:id="595"/>
      <w:bookmarkEnd w:id="596"/>
    </w:p>
    <w:p>
      <w:pPr>
        <w:spacing w:line="500" w:lineRule="exact"/>
        <w:ind w:firstLine="570"/>
        <w:rPr>
          <w:rFonts w:ascii="宋体" w:hAnsi="宋体"/>
          <w:color w:val="000000"/>
          <w:sz w:val="28"/>
          <w:szCs w:val="28"/>
        </w:rPr>
      </w:pPr>
      <w:r>
        <w:rPr>
          <w:rFonts w:hint="eastAsia" w:ascii="宋体" w:hAnsi="宋体"/>
          <w:color w:val="000000"/>
          <w:sz w:val="28"/>
          <w:szCs w:val="28"/>
          <w:lang w:val="en-US" w:eastAsia="zh-CN"/>
        </w:rPr>
        <w:t>公司</w:t>
      </w:r>
      <w:r>
        <w:rPr>
          <w:rFonts w:hint="eastAsia" w:ascii="宋体" w:hAnsi="宋体"/>
          <w:color w:val="000000"/>
          <w:sz w:val="28"/>
          <w:szCs w:val="28"/>
        </w:rPr>
        <w:t>的防雷防静电按</w:t>
      </w:r>
      <w:r>
        <w:rPr>
          <w:rFonts w:ascii="宋体" w:hAnsi="宋体"/>
          <w:color w:val="000000"/>
          <w:sz w:val="28"/>
          <w:szCs w:val="28"/>
        </w:rPr>
        <w:t>《建筑物防雷设计规范》</w:t>
      </w:r>
      <w:r>
        <w:rPr>
          <w:rFonts w:hint="eastAsia" w:ascii="宋体" w:hAnsi="宋体"/>
          <w:color w:val="000000"/>
          <w:sz w:val="28"/>
          <w:szCs w:val="28"/>
        </w:rPr>
        <w:t>，在</w:t>
      </w:r>
      <w:r>
        <w:rPr>
          <w:rFonts w:hint="eastAsia" w:ascii="宋体" w:hAnsi="宋体"/>
          <w:color w:val="000000"/>
          <w:sz w:val="28"/>
          <w:szCs w:val="28"/>
          <w:lang w:val="en-US" w:eastAsia="zh-CN"/>
        </w:rPr>
        <w:t>办公室</w:t>
      </w:r>
      <w:r>
        <w:rPr>
          <w:rFonts w:hint="eastAsia" w:ascii="宋体" w:hAnsi="宋体"/>
          <w:color w:val="000000"/>
          <w:sz w:val="28"/>
          <w:szCs w:val="28"/>
        </w:rPr>
        <w:t>和</w:t>
      </w:r>
      <w:r>
        <w:rPr>
          <w:rFonts w:hint="eastAsia" w:ascii="宋体" w:hAnsi="宋体"/>
          <w:color w:val="000000"/>
          <w:sz w:val="28"/>
          <w:szCs w:val="28"/>
          <w:lang w:val="en-US" w:eastAsia="zh-CN"/>
        </w:rPr>
        <w:t>罩棚</w:t>
      </w:r>
      <w:r>
        <w:rPr>
          <w:rFonts w:hint="eastAsia" w:ascii="宋体" w:hAnsi="宋体"/>
          <w:color w:val="000000"/>
          <w:sz w:val="28"/>
          <w:szCs w:val="28"/>
        </w:rPr>
        <w:t>顶敷设避雷网。</w:t>
      </w:r>
    </w:p>
    <w:p>
      <w:pPr>
        <w:spacing w:line="500" w:lineRule="exact"/>
        <w:ind w:firstLine="570"/>
        <w:rPr>
          <w:rFonts w:ascii="宋体" w:hAnsi="宋体"/>
          <w:color w:val="000000"/>
          <w:sz w:val="28"/>
          <w:szCs w:val="28"/>
        </w:rPr>
      </w:pPr>
      <w:r>
        <w:rPr>
          <w:rFonts w:hint="eastAsia" w:ascii="宋体" w:hAnsi="宋体"/>
          <w:color w:val="000000"/>
          <w:sz w:val="28"/>
          <w:szCs w:val="28"/>
        </w:rPr>
        <w:t>电源引入各配电箱时PE线均应作重复接地，所有电气设备金属外壳，穿线金属钢管等均需与PE线可靠连接重复接地装置与防静电接地装置等共用，接地电阻小于4欧姆。</w:t>
      </w:r>
    </w:p>
    <w:p>
      <w:pPr>
        <w:spacing w:line="500" w:lineRule="exact"/>
        <w:ind w:firstLine="570"/>
        <w:rPr>
          <w:rFonts w:ascii="宋体" w:hAnsi="宋体"/>
          <w:color w:val="000000"/>
          <w:sz w:val="28"/>
          <w:szCs w:val="28"/>
        </w:rPr>
      </w:pPr>
      <w:r>
        <w:rPr>
          <w:rFonts w:hint="eastAsia" w:ascii="宋体" w:hAnsi="宋体"/>
          <w:color w:val="000000"/>
          <w:sz w:val="28"/>
          <w:szCs w:val="28"/>
        </w:rPr>
        <w:t>屋面避雷带通过构造柱内的钢筋与做为接地极的基础钢筋焊接；凡伸出屋面的金属构件均与接地网焊接；避雷网内的各连接点均采用焊接，使整个防雷网形成良好的电气回路。</w:t>
      </w:r>
    </w:p>
    <w:p>
      <w:pPr>
        <w:spacing w:line="500" w:lineRule="exact"/>
        <w:ind w:firstLine="560" w:firstLineChars="200"/>
        <w:rPr>
          <w:snapToGrid w:val="0"/>
          <w:color w:val="000000" w:themeColor="text1"/>
          <w:kern w:val="0"/>
          <w:sz w:val="28"/>
          <w:szCs w:val="28"/>
        </w:rPr>
      </w:pPr>
      <w:r>
        <w:rPr>
          <w:rFonts w:hint="eastAsia" w:ascii="宋体" w:hAnsi="宋体"/>
          <w:color w:val="000000"/>
          <w:sz w:val="28"/>
          <w:szCs w:val="28"/>
          <w:lang w:val="en-US" w:eastAsia="zh-CN"/>
        </w:rPr>
        <w:t>公司内</w:t>
      </w:r>
      <w:r>
        <w:rPr>
          <w:rFonts w:hint="eastAsia" w:ascii="宋体" w:hAnsi="宋体"/>
          <w:color w:val="000000"/>
          <w:sz w:val="28"/>
          <w:szCs w:val="28"/>
        </w:rPr>
        <w:t>所有电器设备、金属管道支架、电缆保护套管以及金属部分等均有可靠接地。输油管道的法兰两端用金属铜片进行跨接。卸油台设置静电接地栓、静电夹</w:t>
      </w:r>
      <w:r>
        <w:rPr>
          <w:rFonts w:hint="eastAsia" w:ascii="宋体" w:hAnsi="宋体" w:eastAsia="宋体" w:cs="Times New Roman"/>
          <w:color w:val="000000"/>
          <w:sz w:val="28"/>
          <w:szCs w:val="28"/>
          <w:lang w:val="en-US" w:eastAsia="zh-CN"/>
        </w:rPr>
        <w:t>。2025年</w:t>
      </w:r>
      <w:r>
        <w:rPr>
          <w:rFonts w:hint="eastAsia" w:ascii="宋体" w:hAnsi="宋体" w:cs="Times New Roman"/>
          <w:color w:val="000000"/>
          <w:sz w:val="28"/>
          <w:szCs w:val="28"/>
          <w:lang w:val="en-US" w:eastAsia="zh-CN"/>
        </w:rPr>
        <w:t>3</w:t>
      </w:r>
      <w:r>
        <w:rPr>
          <w:rFonts w:hint="eastAsia" w:ascii="宋体" w:hAnsi="宋体" w:eastAsia="宋体" w:cs="Times New Roman"/>
          <w:color w:val="000000"/>
          <w:sz w:val="28"/>
          <w:szCs w:val="28"/>
          <w:lang w:val="en-US" w:eastAsia="zh-CN"/>
        </w:rPr>
        <w:t>月</w:t>
      </w:r>
      <w:r>
        <w:rPr>
          <w:rFonts w:hint="eastAsia" w:ascii="宋体" w:hAnsi="宋体" w:cs="Times New Roman"/>
          <w:color w:val="000000"/>
          <w:sz w:val="28"/>
          <w:szCs w:val="28"/>
          <w:lang w:val="en-US" w:eastAsia="zh-CN"/>
        </w:rPr>
        <w:t>1</w:t>
      </w:r>
      <w:r>
        <w:rPr>
          <w:rFonts w:hint="eastAsia" w:ascii="宋体" w:hAnsi="宋体" w:eastAsia="宋体" w:cs="Times New Roman"/>
          <w:color w:val="000000"/>
          <w:sz w:val="28"/>
          <w:szCs w:val="28"/>
          <w:lang w:val="en-US" w:eastAsia="zh-CN"/>
        </w:rPr>
        <w:t>日</w:t>
      </w:r>
      <w:r>
        <w:rPr>
          <w:rFonts w:hint="eastAsia" w:ascii="宋体" w:hAnsi="宋体" w:cs="Times New Roman"/>
          <w:color w:val="000000"/>
          <w:sz w:val="28"/>
          <w:szCs w:val="28"/>
          <w:lang w:val="en-US" w:eastAsia="zh-CN"/>
        </w:rPr>
        <w:t>云南省气象灾害防御技术中心</w:t>
      </w:r>
      <w:r>
        <w:rPr>
          <w:rFonts w:hint="eastAsia" w:ascii="宋体" w:hAnsi="宋体"/>
          <w:color w:val="000000"/>
          <w:sz w:val="28"/>
          <w:szCs w:val="28"/>
        </w:rPr>
        <w:t>对</w:t>
      </w:r>
      <w:r>
        <w:rPr>
          <w:rFonts w:hint="eastAsia" w:ascii="宋体" w:hAnsi="宋体"/>
          <w:color w:val="000000"/>
          <w:sz w:val="28"/>
          <w:szCs w:val="28"/>
          <w:lang w:val="en-US" w:eastAsia="zh-CN"/>
        </w:rPr>
        <w:t>耀晨公司</w:t>
      </w:r>
      <w:r>
        <w:rPr>
          <w:rFonts w:hint="eastAsia" w:ascii="宋体" w:hAnsi="宋体"/>
          <w:color w:val="000000"/>
          <w:sz w:val="28"/>
          <w:szCs w:val="28"/>
        </w:rPr>
        <w:t>的防雷防静电设施进行检测，并出据防雷防静电检测报告，检测报告有效</w:t>
      </w:r>
      <w:r>
        <w:rPr>
          <w:rFonts w:hint="eastAsia" w:ascii="宋体" w:hAnsi="宋体" w:eastAsia="宋体" w:cs="Times New Roman"/>
          <w:color w:val="000000"/>
          <w:sz w:val="28"/>
          <w:szCs w:val="28"/>
        </w:rPr>
        <w:t>期至202</w:t>
      </w:r>
      <w:r>
        <w:rPr>
          <w:rFonts w:hint="eastAsia" w:ascii="宋体" w:hAnsi="宋体"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cs="Times New Roman"/>
          <w:color w:val="000000"/>
          <w:sz w:val="28"/>
          <w:szCs w:val="28"/>
          <w:lang w:val="en-US" w:eastAsia="zh-CN"/>
        </w:rPr>
        <w:t>9</w:t>
      </w:r>
      <w:r>
        <w:rPr>
          <w:rFonts w:hint="eastAsia" w:ascii="宋体" w:hAnsi="宋体" w:eastAsia="宋体" w:cs="Times New Roman"/>
          <w:color w:val="000000"/>
          <w:sz w:val="28"/>
          <w:szCs w:val="28"/>
        </w:rPr>
        <w:t>月</w:t>
      </w:r>
      <w:r>
        <w:rPr>
          <w:rFonts w:hint="eastAsia" w:ascii="宋体" w:hAnsi="宋体" w:cs="Times New Roman"/>
          <w:color w:val="000000"/>
          <w:sz w:val="28"/>
          <w:szCs w:val="28"/>
          <w:lang w:val="en-US" w:eastAsia="zh-CN"/>
        </w:rPr>
        <w:t>1</w:t>
      </w:r>
      <w:r>
        <w:rPr>
          <w:rFonts w:hint="eastAsia" w:ascii="宋体" w:hAnsi="宋体"/>
          <w:color w:val="000000"/>
          <w:sz w:val="28"/>
          <w:szCs w:val="28"/>
        </w:rPr>
        <w:t>日</w:t>
      </w:r>
      <w:r>
        <w:rPr>
          <w:rFonts w:hint="eastAsia" w:ascii="宋体" w:hAnsi="宋体"/>
          <w:color w:val="000000"/>
          <w:sz w:val="28"/>
          <w:szCs w:val="28"/>
          <w:lang w:val="en-US" w:eastAsia="zh-CN"/>
        </w:rPr>
        <w:t>前</w:t>
      </w:r>
      <w:r>
        <w:rPr>
          <w:rFonts w:hint="eastAsia"/>
          <w:snapToGrid w:val="0"/>
          <w:color w:val="000000" w:themeColor="text1"/>
          <w:kern w:val="0"/>
          <w:sz w:val="28"/>
          <w:szCs w:val="28"/>
        </w:rPr>
        <w:t>，</w:t>
      </w:r>
      <w:r>
        <w:rPr>
          <w:snapToGrid w:val="0"/>
          <w:color w:val="000000" w:themeColor="text1"/>
          <w:kern w:val="0"/>
          <w:sz w:val="28"/>
          <w:szCs w:val="28"/>
        </w:rPr>
        <w:t>防雷检测报告详见本报告附件。</w:t>
      </w:r>
    </w:p>
    <w:p>
      <w:pPr>
        <w:pStyle w:val="19"/>
        <w:spacing w:afterLines="100" w:line="500" w:lineRule="exact"/>
        <w:rPr>
          <w:rFonts w:ascii="黑体" w:hAnsi="宋体" w:eastAsia="黑体"/>
          <w:color w:val="000000" w:themeColor="text1"/>
          <w:kern w:val="3"/>
          <w:sz w:val="28"/>
          <w:szCs w:val="28"/>
        </w:rPr>
      </w:pPr>
      <w:bookmarkStart w:id="597" w:name="_Toc22358"/>
      <w:bookmarkStart w:id="598" w:name="_Toc487"/>
      <w:bookmarkStart w:id="599" w:name="_Toc25042"/>
      <w:bookmarkStart w:id="600" w:name="_Toc3303"/>
      <w:bookmarkStart w:id="601" w:name="_Toc17178"/>
      <w:bookmarkStart w:id="602" w:name="_Toc21664"/>
      <w:bookmarkStart w:id="603" w:name="_Toc26389"/>
      <w:bookmarkStart w:id="604" w:name="_Toc16977"/>
      <w:bookmarkStart w:id="605" w:name="_Toc6715"/>
      <w:bookmarkStart w:id="606" w:name="_Toc16087"/>
      <w:r>
        <w:rPr>
          <w:rFonts w:hint="eastAsia" w:ascii="黑体" w:hAnsi="宋体" w:eastAsia="黑体"/>
          <w:color w:val="000000" w:themeColor="text1"/>
          <w:kern w:val="3"/>
          <w:sz w:val="28"/>
          <w:szCs w:val="28"/>
        </w:rPr>
        <w:t>2.7.4防静电</w:t>
      </w:r>
      <w:bookmarkEnd w:id="597"/>
      <w:bookmarkEnd w:id="598"/>
      <w:bookmarkEnd w:id="599"/>
      <w:bookmarkEnd w:id="600"/>
      <w:bookmarkEnd w:id="601"/>
      <w:bookmarkEnd w:id="602"/>
      <w:bookmarkEnd w:id="603"/>
      <w:bookmarkEnd w:id="604"/>
      <w:bookmarkEnd w:id="605"/>
      <w:bookmarkEnd w:id="606"/>
    </w:p>
    <w:p>
      <w:pPr>
        <w:spacing w:line="500" w:lineRule="exact"/>
        <w:ind w:firstLine="560" w:firstLineChars="200"/>
        <w:rPr>
          <w:color w:val="000000" w:themeColor="text1"/>
        </w:rPr>
      </w:pPr>
      <w:r>
        <w:rPr>
          <w:snapToGrid w:val="0"/>
          <w:color w:val="000000" w:themeColor="text1"/>
          <w:kern w:val="0"/>
          <w:sz w:val="28"/>
          <w:szCs w:val="28"/>
        </w:rPr>
        <w:t>该项目在罐区内设置装卸车静电夹</w:t>
      </w:r>
      <w:r>
        <w:rPr>
          <w:rFonts w:hint="eastAsia"/>
          <w:snapToGrid w:val="0"/>
          <w:color w:val="000000" w:themeColor="text1"/>
          <w:kern w:val="0"/>
          <w:sz w:val="28"/>
          <w:szCs w:val="28"/>
          <w:lang w:val="en-US" w:eastAsia="zh-CN"/>
        </w:rPr>
        <w:t>及</w:t>
      </w:r>
      <w:r>
        <w:rPr>
          <w:snapToGrid w:val="0"/>
          <w:color w:val="000000" w:themeColor="text1"/>
          <w:kern w:val="0"/>
          <w:sz w:val="28"/>
          <w:szCs w:val="28"/>
        </w:rPr>
        <w:t>人体静电释放装置。</w:t>
      </w:r>
    </w:p>
    <w:p>
      <w:pPr>
        <w:pStyle w:val="19"/>
        <w:spacing w:afterLines="100" w:line="500" w:lineRule="exact"/>
        <w:rPr>
          <w:rFonts w:ascii="黑体" w:hAnsi="宋体" w:eastAsia="黑体"/>
          <w:color w:val="000000" w:themeColor="text1"/>
          <w:kern w:val="3"/>
          <w:sz w:val="28"/>
          <w:szCs w:val="28"/>
        </w:rPr>
      </w:pPr>
      <w:bookmarkStart w:id="607" w:name="_Toc20049"/>
      <w:bookmarkStart w:id="608" w:name="_Toc2234"/>
      <w:bookmarkStart w:id="609" w:name="_Toc14497"/>
      <w:bookmarkStart w:id="610" w:name="_Toc4935"/>
      <w:bookmarkStart w:id="611" w:name="_Toc30094"/>
      <w:bookmarkStart w:id="612" w:name="_Toc23593"/>
      <w:bookmarkStart w:id="613" w:name="_Toc32339"/>
      <w:bookmarkStart w:id="614" w:name="_Toc398"/>
      <w:bookmarkStart w:id="615" w:name="_Toc389"/>
      <w:bookmarkStart w:id="616" w:name="_Toc26508"/>
      <w:bookmarkStart w:id="617" w:name="_Toc7453"/>
      <w:bookmarkStart w:id="618" w:name="_Toc11327"/>
      <w:bookmarkStart w:id="619" w:name="_Toc15464"/>
      <w:bookmarkStart w:id="620" w:name="_Toc31083"/>
      <w:r>
        <w:rPr>
          <w:rFonts w:hint="eastAsia" w:ascii="黑体" w:hAnsi="宋体" w:eastAsia="黑体"/>
          <w:color w:val="000000" w:themeColor="text1"/>
          <w:kern w:val="3"/>
          <w:sz w:val="28"/>
          <w:szCs w:val="28"/>
        </w:rPr>
        <w:t>2.7.5消防设施及安全警示标识</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1</w:t>
      </w:r>
      <w:r>
        <w:rPr>
          <w:rFonts w:hint="eastAsia"/>
          <w:snapToGrid w:val="0"/>
          <w:color w:val="000000" w:themeColor="text1"/>
          <w:kern w:val="0"/>
          <w:sz w:val="28"/>
          <w:szCs w:val="28"/>
        </w:rPr>
        <w:t>.</w:t>
      </w:r>
      <w:r>
        <w:rPr>
          <w:snapToGrid w:val="0"/>
          <w:color w:val="000000" w:themeColor="text1"/>
          <w:kern w:val="0"/>
          <w:sz w:val="28"/>
          <w:szCs w:val="28"/>
        </w:rPr>
        <w:t>消防设施</w:t>
      </w:r>
    </w:p>
    <w:p>
      <w:pPr>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该项目区域设置的消防设施情况列入下表：</w:t>
      </w:r>
    </w:p>
    <w:p>
      <w:pPr>
        <w:jc w:val="center"/>
        <w:rPr>
          <w:color w:val="000000" w:themeColor="text1"/>
          <w:sz w:val="24"/>
        </w:rPr>
      </w:pPr>
      <w:r>
        <w:rPr>
          <w:color w:val="000000" w:themeColor="text1"/>
          <w:sz w:val="24"/>
        </w:rPr>
        <w:t>表2-5 主要消防器材、设施及安全标识配备表</w:t>
      </w:r>
    </w:p>
    <w:tbl>
      <w:tblPr>
        <w:tblStyle w:val="52"/>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08"/>
        <w:gridCol w:w="1700"/>
        <w:gridCol w:w="760"/>
        <w:gridCol w:w="920"/>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2508" w:type="dxa"/>
            <w:noWrap/>
            <w:vAlign w:val="center"/>
          </w:tcPr>
          <w:p>
            <w:pPr>
              <w:spacing w:line="500" w:lineRule="exact"/>
              <w:jc w:val="center"/>
              <w:rPr>
                <w:rFonts w:ascii="宋体" w:hAnsi="宋体" w:cs="仿宋"/>
                <w:color w:val="000000" w:themeColor="text1"/>
                <w:kern w:val="3"/>
              </w:rPr>
            </w:pPr>
            <w:r>
              <w:rPr>
                <w:rFonts w:hint="eastAsia" w:ascii="宋体" w:hAnsi="宋体" w:cs="仿宋"/>
                <w:color w:val="000000" w:themeColor="text1"/>
                <w:kern w:val="3"/>
              </w:rPr>
              <w:t>名称</w:t>
            </w:r>
          </w:p>
        </w:tc>
        <w:tc>
          <w:tcPr>
            <w:tcW w:w="1700" w:type="dxa"/>
            <w:noWrap/>
            <w:vAlign w:val="center"/>
          </w:tcPr>
          <w:p>
            <w:pPr>
              <w:spacing w:line="500" w:lineRule="exact"/>
              <w:jc w:val="center"/>
              <w:rPr>
                <w:rFonts w:ascii="宋体" w:hAnsi="宋体" w:cs="仿宋"/>
                <w:color w:val="000000" w:themeColor="text1"/>
                <w:kern w:val="3"/>
              </w:rPr>
            </w:pPr>
            <w:r>
              <w:rPr>
                <w:rFonts w:hint="eastAsia" w:ascii="宋体" w:hAnsi="宋体" w:cs="仿宋"/>
                <w:color w:val="000000" w:themeColor="text1"/>
                <w:kern w:val="3"/>
              </w:rPr>
              <w:t>型号、规格</w:t>
            </w:r>
          </w:p>
        </w:tc>
        <w:tc>
          <w:tcPr>
            <w:tcW w:w="760" w:type="dxa"/>
            <w:noWrap/>
            <w:vAlign w:val="center"/>
          </w:tcPr>
          <w:p>
            <w:pPr>
              <w:spacing w:line="500" w:lineRule="exact"/>
              <w:jc w:val="center"/>
              <w:rPr>
                <w:rFonts w:ascii="宋体" w:hAnsi="宋体" w:cs="仿宋"/>
                <w:color w:val="000000" w:themeColor="text1"/>
                <w:kern w:val="3"/>
              </w:rPr>
            </w:pPr>
            <w:r>
              <w:rPr>
                <w:rFonts w:hint="eastAsia" w:ascii="宋体" w:hAnsi="宋体" w:cs="仿宋"/>
                <w:color w:val="000000" w:themeColor="text1"/>
                <w:kern w:val="3"/>
              </w:rPr>
              <w:t>数量</w:t>
            </w:r>
          </w:p>
        </w:tc>
        <w:tc>
          <w:tcPr>
            <w:tcW w:w="920" w:type="dxa"/>
            <w:noWrap/>
            <w:vAlign w:val="center"/>
          </w:tcPr>
          <w:p>
            <w:pPr>
              <w:spacing w:line="500" w:lineRule="exact"/>
              <w:jc w:val="center"/>
              <w:rPr>
                <w:rFonts w:ascii="宋体" w:hAnsi="宋体" w:cs="仿宋"/>
                <w:color w:val="000000" w:themeColor="text1"/>
                <w:kern w:val="3"/>
              </w:rPr>
            </w:pPr>
            <w:r>
              <w:rPr>
                <w:rFonts w:hint="eastAsia" w:ascii="宋体" w:hAnsi="宋体" w:cs="仿宋"/>
                <w:color w:val="000000" w:themeColor="text1"/>
                <w:kern w:val="3"/>
              </w:rPr>
              <w:t>状况</w:t>
            </w:r>
          </w:p>
        </w:tc>
        <w:tc>
          <w:tcPr>
            <w:tcW w:w="2606" w:type="dxa"/>
            <w:noWrap/>
            <w:vAlign w:val="center"/>
          </w:tcPr>
          <w:p>
            <w:pPr>
              <w:spacing w:line="500" w:lineRule="exact"/>
              <w:jc w:val="center"/>
              <w:rPr>
                <w:rFonts w:ascii="宋体" w:hAnsi="宋体" w:cs="仿宋"/>
                <w:color w:val="000000" w:themeColor="text1"/>
                <w:kern w:val="3"/>
              </w:rPr>
            </w:pPr>
            <w:r>
              <w:rPr>
                <w:rFonts w:hint="eastAsia" w:ascii="宋体" w:hAnsi="宋体" w:cs="仿宋"/>
                <w:color w:val="000000" w:themeColor="text1"/>
                <w:kern w:val="3"/>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2508"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干粉灭火器</w:t>
            </w:r>
          </w:p>
        </w:tc>
        <w:tc>
          <w:tcPr>
            <w:tcW w:w="1700" w:type="dxa"/>
            <w:noWrap/>
            <w:vAlign w:val="center"/>
          </w:tcPr>
          <w:p>
            <w:pPr>
              <w:autoSpaceDE w:val="0"/>
              <w:autoSpaceDN w:val="0"/>
              <w:jc w:val="center"/>
              <w:rPr>
                <w:rFonts w:ascii="宋体" w:hAnsi="宋体" w:cs="宋体"/>
                <w:color w:val="000000" w:themeColor="text1"/>
                <w:kern w:val="0"/>
                <w:szCs w:val="21"/>
              </w:rPr>
            </w:pPr>
            <w:r>
              <w:rPr>
                <w:rFonts w:ascii="宋体" w:hAnsi="宋体" w:cs="宋体"/>
                <w:color w:val="000000" w:themeColor="text1"/>
                <w:kern w:val="0"/>
                <w:szCs w:val="21"/>
              </w:rPr>
              <w:t>MFZL-4</w:t>
            </w:r>
          </w:p>
        </w:tc>
        <w:tc>
          <w:tcPr>
            <w:tcW w:w="76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lang w:val="en-US" w:eastAsia="zh-CN"/>
              </w:rPr>
              <w:t>8</w:t>
            </w:r>
            <w:r>
              <w:rPr>
                <w:rFonts w:hint="eastAsia" w:ascii="宋体" w:hAnsi="宋体" w:cs="宋体"/>
                <w:color w:val="000000" w:themeColor="text1"/>
                <w:kern w:val="0"/>
                <w:szCs w:val="21"/>
              </w:rPr>
              <w:t>只</w:t>
            </w:r>
          </w:p>
        </w:tc>
        <w:tc>
          <w:tcPr>
            <w:tcW w:w="92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良好</w:t>
            </w:r>
          </w:p>
        </w:tc>
        <w:tc>
          <w:tcPr>
            <w:tcW w:w="2606" w:type="dxa"/>
            <w:noWrap/>
            <w:vAlign w:val="center"/>
          </w:tcPr>
          <w:p>
            <w:pPr>
              <w:autoSpaceDE w:val="0"/>
              <w:autoSpaceDN w:val="0"/>
              <w:rPr>
                <w:rFonts w:ascii="宋体" w:hAnsi="宋体" w:cs="宋体"/>
                <w:color w:val="000000" w:themeColor="text1"/>
                <w:kern w:val="0"/>
                <w:szCs w:val="21"/>
              </w:rPr>
            </w:pPr>
            <w:r>
              <w:rPr>
                <w:rFonts w:hint="eastAsia" w:ascii="宋体" w:hAnsi="宋体" w:cs="宋体"/>
                <w:color w:val="000000" w:themeColor="text1"/>
                <w:kern w:val="0"/>
                <w:szCs w:val="21"/>
              </w:rPr>
              <w:t>加注机，储罐区、营业室。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2508" w:type="dxa"/>
            <w:noWrap/>
            <w:vAlign w:val="center"/>
          </w:tcPr>
          <w:p>
            <w:pPr>
              <w:autoSpaceDE w:val="0"/>
              <w:autoSpaceDN w:val="0"/>
              <w:jc w:val="center"/>
              <w:rPr>
                <w:rFonts w:hint="eastAsia" w:ascii="宋体" w:hAnsi="宋体" w:eastAsia="宋体" w:cs="宋体"/>
                <w:color w:val="000000" w:themeColor="text1"/>
                <w:kern w:val="0"/>
                <w:sz w:val="21"/>
                <w:szCs w:val="21"/>
                <w:lang w:val="en-US" w:eastAsia="zh-CN" w:bidi="ar-SA"/>
              </w:rPr>
            </w:pPr>
            <w:r>
              <w:rPr>
                <w:rFonts w:hint="eastAsia" w:ascii="宋体" w:hAnsi="宋体" w:cs="宋体"/>
                <w:color w:val="000000" w:themeColor="text1"/>
                <w:kern w:val="0"/>
                <w:szCs w:val="21"/>
              </w:rPr>
              <w:t>干粉灭火器</w:t>
            </w:r>
          </w:p>
        </w:tc>
        <w:tc>
          <w:tcPr>
            <w:tcW w:w="1700" w:type="dxa"/>
            <w:noWrap/>
            <w:vAlign w:val="center"/>
          </w:tcPr>
          <w:p>
            <w:pPr>
              <w:autoSpaceDE w:val="0"/>
              <w:autoSpaceDN w:val="0"/>
              <w:jc w:val="center"/>
              <w:rPr>
                <w:rFonts w:hint="eastAsia" w:ascii="宋体" w:hAnsi="宋体" w:eastAsia="宋体" w:cs="宋体"/>
                <w:color w:val="000000" w:themeColor="text1"/>
                <w:kern w:val="0"/>
                <w:sz w:val="21"/>
                <w:szCs w:val="21"/>
                <w:lang w:val="en-US" w:eastAsia="zh-CN" w:bidi="ar-SA"/>
              </w:rPr>
            </w:pPr>
            <w:r>
              <w:rPr>
                <w:rFonts w:ascii="宋体" w:hAnsi="宋体" w:cs="宋体"/>
                <w:color w:val="000000" w:themeColor="text1"/>
                <w:kern w:val="0"/>
                <w:szCs w:val="21"/>
              </w:rPr>
              <w:t>MFZL-</w:t>
            </w:r>
            <w:r>
              <w:rPr>
                <w:rFonts w:hint="eastAsia" w:ascii="宋体" w:hAnsi="宋体" w:cs="宋体"/>
                <w:color w:val="000000" w:themeColor="text1"/>
                <w:kern w:val="0"/>
                <w:szCs w:val="21"/>
                <w:lang w:val="en-US" w:eastAsia="zh-CN"/>
              </w:rPr>
              <w:t>2</w:t>
            </w:r>
          </w:p>
        </w:tc>
        <w:tc>
          <w:tcPr>
            <w:tcW w:w="760" w:type="dxa"/>
            <w:noWrap/>
            <w:vAlign w:val="center"/>
          </w:tcPr>
          <w:p>
            <w:pPr>
              <w:autoSpaceDE w:val="0"/>
              <w:autoSpaceDN w:val="0"/>
              <w:jc w:val="center"/>
              <w:rPr>
                <w:rFonts w:hint="eastAsia" w:ascii="宋体" w:hAnsi="宋体" w:eastAsia="宋体" w:cs="宋体"/>
                <w:color w:val="000000" w:themeColor="text1"/>
                <w:kern w:val="0"/>
                <w:sz w:val="21"/>
                <w:szCs w:val="21"/>
                <w:lang w:val="en-US" w:eastAsia="zh-CN" w:bidi="ar-SA"/>
              </w:rPr>
            </w:pPr>
            <w:r>
              <w:rPr>
                <w:rFonts w:hint="eastAsia" w:ascii="宋体" w:hAnsi="宋体" w:cs="宋体"/>
                <w:color w:val="000000" w:themeColor="text1"/>
                <w:kern w:val="0"/>
                <w:szCs w:val="21"/>
                <w:lang w:val="en-US" w:eastAsia="zh-CN"/>
              </w:rPr>
              <w:t>2</w:t>
            </w:r>
            <w:r>
              <w:rPr>
                <w:rFonts w:hint="eastAsia" w:ascii="宋体" w:hAnsi="宋体" w:cs="宋体"/>
                <w:color w:val="000000" w:themeColor="text1"/>
                <w:kern w:val="0"/>
                <w:szCs w:val="21"/>
              </w:rPr>
              <w:t>只</w:t>
            </w:r>
          </w:p>
        </w:tc>
        <w:tc>
          <w:tcPr>
            <w:tcW w:w="920" w:type="dxa"/>
            <w:noWrap/>
            <w:vAlign w:val="center"/>
          </w:tcPr>
          <w:p>
            <w:pPr>
              <w:autoSpaceDE w:val="0"/>
              <w:autoSpaceDN w:val="0"/>
              <w:jc w:val="center"/>
              <w:rPr>
                <w:rFonts w:hint="eastAsia" w:ascii="宋体" w:hAnsi="宋体" w:eastAsia="宋体" w:cs="宋体"/>
                <w:color w:val="000000" w:themeColor="text1"/>
                <w:kern w:val="0"/>
                <w:sz w:val="21"/>
                <w:szCs w:val="21"/>
                <w:lang w:val="en-US" w:eastAsia="zh-CN" w:bidi="ar-SA"/>
              </w:rPr>
            </w:pPr>
            <w:r>
              <w:rPr>
                <w:rFonts w:hint="eastAsia" w:ascii="宋体" w:hAnsi="宋体" w:cs="宋体"/>
                <w:color w:val="000000" w:themeColor="text1"/>
                <w:kern w:val="0"/>
                <w:szCs w:val="21"/>
              </w:rPr>
              <w:t>良好</w:t>
            </w:r>
          </w:p>
        </w:tc>
        <w:tc>
          <w:tcPr>
            <w:tcW w:w="2606" w:type="dxa"/>
            <w:noWrap/>
            <w:vAlign w:val="center"/>
          </w:tcPr>
          <w:p>
            <w:pPr>
              <w:autoSpaceDE w:val="0"/>
              <w:autoSpaceDN w:val="0"/>
              <w:rPr>
                <w:rFonts w:hint="eastAsia" w:ascii="宋体" w:hAnsi="宋体" w:eastAsia="宋体" w:cs="宋体"/>
                <w:color w:val="000000" w:themeColor="text1"/>
                <w:kern w:val="0"/>
                <w:sz w:val="21"/>
                <w:szCs w:val="21"/>
                <w:lang w:val="en-US" w:eastAsia="zh-CN" w:bidi="ar-SA"/>
              </w:rPr>
            </w:pPr>
            <w:r>
              <w:rPr>
                <w:rFonts w:hint="eastAsia" w:ascii="宋体" w:hAnsi="宋体" w:cs="宋体"/>
                <w:color w:val="000000" w:themeColor="text1"/>
                <w:kern w:val="0"/>
                <w:szCs w:val="21"/>
              </w:rPr>
              <w:t>营业室2只。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2508"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推车式干粉灭火器</w:t>
            </w:r>
          </w:p>
        </w:tc>
        <w:tc>
          <w:tcPr>
            <w:tcW w:w="1700" w:type="dxa"/>
            <w:noWrap/>
            <w:vAlign w:val="center"/>
          </w:tcPr>
          <w:p>
            <w:pPr>
              <w:autoSpaceDE w:val="0"/>
              <w:autoSpaceDN w:val="0"/>
              <w:jc w:val="center"/>
              <w:rPr>
                <w:rFonts w:ascii="宋体" w:hAnsi="宋体" w:cs="宋体"/>
                <w:color w:val="000000" w:themeColor="text1"/>
                <w:kern w:val="0"/>
                <w:szCs w:val="21"/>
              </w:rPr>
            </w:pPr>
            <w:r>
              <w:rPr>
                <w:rFonts w:ascii="宋体" w:hAnsi="宋体" w:cs="宋体"/>
                <w:color w:val="000000" w:themeColor="text1"/>
                <w:kern w:val="0"/>
                <w:szCs w:val="21"/>
              </w:rPr>
              <w:t>MF</w:t>
            </w:r>
            <w:r>
              <w:rPr>
                <w:rFonts w:hint="eastAsia" w:ascii="宋体" w:hAnsi="宋体" w:cs="宋体"/>
                <w:color w:val="000000" w:themeColor="text1"/>
                <w:kern w:val="0"/>
                <w:szCs w:val="21"/>
              </w:rPr>
              <w:t>TL</w:t>
            </w:r>
            <w:r>
              <w:rPr>
                <w:rFonts w:ascii="宋体" w:hAnsi="宋体" w:cs="宋体"/>
                <w:color w:val="000000" w:themeColor="text1"/>
                <w:kern w:val="0"/>
                <w:szCs w:val="21"/>
              </w:rPr>
              <w:t xml:space="preserve"> 3</w:t>
            </w:r>
            <w:r>
              <w:rPr>
                <w:rFonts w:hint="eastAsia" w:ascii="宋体" w:hAnsi="宋体" w:cs="宋体"/>
                <w:color w:val="000000" w:themeColor="text1"/>
                <w:kern w:val="0"/>
                <w:szCs w:val="21"/>
              </w:rPr>
              <w:t>5kg</w:t>
            </w:r>
          </w:p>
        </w:tc>
        <w:tc>
          <w:tcPr>
            <w:tcW w:w="76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1个</w:t>
            </w:r>
          </w:p>
        </w:tc>
        <w:tc>
          <w:tcPr>
            <w:tcW w:w="92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良好</w:t>
            </w:r>
          </w:p>
        </w:tc>
        <w:tc>
          <w:tcPr>
            <w:tcW w:w="2606" w:type="dxa"/>
            <w:noWrap/>
          </w:tcPr>
          <w:p>
            <w:pPr>
              <w:rPr>
                <w:rFonts w:ascii="宋体" w:hAnsi="宋体"/>
                <w:color w:val="000000" w:themeColor="text1"/>
              </w:rPr>
            </w:pPr>
            <w:r>
              <w:rPr>
                <w:rFonts w:hint="eastAsia" w:ascii="宋体" w:hAnsi="宋体" w:cs="宋体"/>
                <w:color w:val="000000" w:themeColor="text1"/>
                <w:kern w:val="0"/>
                <w:szCs w:val="21"/>
              </w:rPr>
              <w:t>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2508"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灭火毯</w:t>
            </w:r>
          </w:p>
        </w:tc>
        <w:tc>
          <w:tcPr>
            <w:tcW w:w="1700" w:type="dxa"/>
            <w:noWrap/>
            <w:vAlign w:val="center"/>
          </w:tcPr>
          <w:p>
            <w:pPr>
              <w:autoSpaceDE w:val="0"/>
              <w:autoSpaceDN w:val="0"/>
              <w:jc w:val="center"/>
              <w:rPr>
                <w:rFonts w:ascii="宋体" w:hAnsi="宋体" w:cs="宋体"/>
                <w:color w:val="000000" w:themeColor="text1"/>
                <w:kern w:val="0"/>
                <w:szCs w:val="21"/>
              </w:rPr>
            </w:pPr>
            <w:r>
              <w:rPr>
                <w:rFonts w:ascii="宋体" w:hAnsi="宋体" w:cs="宋体"/>
                <w:color w:val="000000" w:themeColor="text1"/>
                <w:kern w:val="0"/>
                <w:szCs w:val="21"/>
              </w:rPr>
              <w:t>1*1.5M</w:t>
            </w:r>
            <w:r>
              <w:rPr>
                <w:rFonts w:hint="eastAsia" w:ascii="宋体" w:hAnsi="宋体" w:cs="宋体"/>
                <w:color w:val="000000" w:themeColor="text1"/>
                <w:kern w:val="0"/>
                <w:szCs w:val="21"/>
              </w:rPr>
              <w:t>石棉</w:t>
            </w:r>
          </w:p>
        </w:tc>
        <w:tc>
          <w:tcPr>
            <w:tcW w:w="76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lang w:val="en-US" w:eastAsia="zh-CN"/>
              </w:rPr>
              <w:t>4</w:t>
            </w:r>
            <w:r>
              <w:rPr>
                <w:rFonts w:hint="eastAsia" w:ascii="宋体" w:hAnsi="宋体" w:cs="宋体"/>
                <w:color w:val="000000" w:themeColor="text1"/>
                <w:kern w:val="0"/>
                <w:szCs w:val="21"/>
              </w:rPr>
              <w:t>床</w:t>
            </w:r>
          </w:p>
        </w:tc>
        <w:tc>
          <w:tcPr>
            <w:tcW w:w="92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良好</w:t>
            </w:r>
          </w:p>
        </w:tc>
        <w:tc>
          <w:tcPr>
            <w:tcW w:w="2606" w:type="dxa"/>
            <w:noWrap/>
          </w:tcPr>
          <w:p>
            <w:pPr>
              <w:rPr>
                <w:rFonts w:ascii="宋体" w:hAnsi="宋体"/>
                <w:color w:val="000000" w:themeColor="text1"/>
              </w:rPr>
            </w:pPr>
            <w:r>
              <w:rPr>
                <w:rFonts w:hint="eastAsia" w:ascii="宋体" w:hAnsi="宋体" w:cs="宋体"/>
                <w:color w:val="000000" w:themeColor="text1"/>
                <w:kern w:val="0"/>
                <w:szCs w:val="21"/>
              </w:rPr>
              <w:t>加注区</w:t>
            </w:r>
            <w:r>
              <w:rPr>
                <w:rFonts w:hint="eastAsia" w:ascii="宋体" w:hAnsi="宋体" w:cs="宋体"/>
                <w:color w:val="000000" w:themeColor="text1"/>
                <w:kern w:val="0"/>
                <w:szCs w:val="21"/>
                <w:lang w:val="en-US" w:eastAsia="zh-CN"/>
              </w:rPr>
              <w:t>2</w:t>
            </w:r>
            <w:r>
              <w:rPr>
                <w:rFonts w:hint="eastAsia" w:ascii="宋体" w:hAnsi="宋体" w:cs="宋体"/>
                <w:color w:val="000000" w:themeColor="text1"/>
                <w:kern w:val="0"/>
                <w:szCs w:val="21"/>
              </w:rPr>
              <w:t>床、储罐区</w:t>
            </w:r>
            <w:r>
              <w:rPr>
                <w:rFonts w:hint="eastAsia" w:ascii="宋体" w:hAnsi="宋体" w:cs="宋体"/>
                <w:color w:val="000000" w:themeColor="text1"/>
                <w:kern w:val="0"/>
                <w:szCs w:val="21"/>
                <w:lang w:val="en-US" w:eastAsia="zh-CN"/>
              </w:rPr>
              <w:t>2</w:t>
            </w:r>
            <w:r>
              <w:rPr>
                <w:rFonts w:hint="eastAsia" w:ascii="宋体" w:hAnsi="宋体" w:cs="宋体"/>
                <w:color w:val="000000" w:themeColor="text1"/>
                <w:kern w:val="0"/>
                <w:szCs w:val="21"/>
              </w:rPr>
              <w:t>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2508"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消防砂池</w:t>
            </w:r>
          </w:p>
        </w:tc>
        <w:tc>
          <w:tcPr>
            <w:tcW w:w="1700" w:type="dxa"/>
            <w:noWrap/>
            <w:vAlign w:val="center"/>
          </w:tcPr>
          <w:p>
            <w:pPr>
              <w:autoSpaceDE w:val="0"/>
              <w:autoSpaceDN w:val="0"/>
              <w:jc w:val="center"/>
              <w:rPr>
                <w:rFonts w:ascii="宋体" w:hAnsi="宋体" w:cs="宋体"/>
                <w:color w:val="000000" w:themeColor="text1"/>
                <w:kern w:val="0"/>
                <w:szCs w:val="21"/>
              </w:rPr>
            </w:pPr>
            <w:r>
              <w:rPr>
                <w:rFonts w:ascii="宋体" w:hAnsi="宋体" w:cs="宋体"/>
                <w:color w:val="000000" w:themeColor="text1"/>
                <w:kern w:val="0"/>
                <w:szCs w:val="21"/>
              </w:rPr>
              <w:t>2</w:t>
            </w:r>
            <w:r>
              <w:rPr>
                <w:rFonts w:hint="eastAsia" w:ascii="宋体" w:hAnsi="宋体" w:cs="宋体"/>
                <w:color w:val="000000" w:themeColor="text1"/>
                <w:kern w:val="0"/>
                <w:szCs w:val="21"/>
              </w:rPr>
              <w:t>m</w:t>
            </w:r>
            <w:r>
              <w:rPr>
                <w:rFonts w:hint="eastAsia" w:ascii="宋体" w:hAnsi="宋体" w:cs="宋体"/>
                <w:color w:val="000000" w:themeColor="text1"/>
                <w:kern w:val="0"/>
                <w:szCs w:val="21"/>
                <w:vertAlign w:val="superscript"/>
              </w:rPr>
              <w:t>3</w:t>
            </w:r>
          </w:p>
        </w:tc>
        <w:tc>
          <w:tcPr>
            <w:tcW w:w="76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1座</w:t>
            </w:r>
          </w:p>
        </w:tc>
        <w:tc>
          <w:tcPr>
            <w:tcW w:w="92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良好</w:t>
            </w:r>
          </w:p>
        </w:tc>
        <w:tc>
          <w:tcPr>
            <w:tcW w:w="2606" w:type="dxa"/>
            <w:noWrap/>
          </w:tcPr>
          <w:p>
            <w:pPr>
              <w:rPr>
                <w:rFonts w:ascii="宋体" w:hAnsi="宋体"/>
                <w:color w:val="000000" w:themeColor="text1"/>
              </w:rPr>
            </w:pPr>
            <w:r>
              <w:rPr>
                <w:rFonts w:hint="eastAsia" w:ascii="宋体" w:hAnsi="宋体"/>
                <w:color w:val="000000" w:themeColor="text1"/>
              </w:rP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2508"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消防铲</w:t>
            </w:r>
          </w:p>
        </w:tc>
        <w:tc>
          <w:tcPr>
            <w:tcW w:w="1700" w:type="dxa"/>
            <w:noWrap/>
            <w:vAlign w:val="center"/>
          </w:tcPr>
          <w:p>
            <w:pPr>
              <w:autoSpaceDE w:val="0"/>
              <w:autoSpaceDN w:val="0"/>
              <w:jc w:val="center"/>
              <w:rPr>
                <w:rFonts w:ascii="宋体" w:hAnsi="宋体" w:cs="宋体"/>
                <w:color w:val="000000" w:themeColor="text1"/>
                <w:kern w:val="0"/>
                <w:szCs w:val="21"/>
              </w:rPr>
            </w:pPr>
          </w:p>
        </w:tc>
        <w:tc>
          <w:tcPr>
            <w:tcW w:w="76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2把</w:t>
            </w:r>
          </w:p>
        </w:tc>
        <w:tc>
          <w:tcPr>
            <w:tcW w:w="92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良好</w:t>
            </w:r>
          </w:p>
        </w:tc>
        <w:tc>
          <w:tcPr>
            <w:tcW w:w="2606" w:type="dxa"/>
            <w:noWrap/>
          </w:tcPr>
          <w:p>
            <w:pPr>
              <w:rPr>
                <w:rFonts w:ascii="宋体" w:hAnsi="宋体"/>
                <w:color w:val="000000" w:themeColor="text1"/>
              </w:rPr>
            </w:pPr>
            <w:r>
              <w:rPr>
                <w:rFonts w:hint="eastAsia" w:ascii="宋体" w:hAnsi="宋体"/>
                <w:color w:val="000000" w:themeColor="text1"/>
              </w:rP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jc w:val="center"/>
        </w:trPr>
        <w:tc>
          <w:tcPr>
            <w:tcW w:w="2508"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消防桶</w:t>
            </w:r>
          </w:p>
        </w:tc>
        <w:tc>
          <w:tcPr>
            <w:tcW w:w="1700" w:type="dxa"/>
            <w:noWrap/>
            <w:vAlign w:val="center"/>
          </w:tcPr>
          <w:p>
            <w:pPr>
              <w:autoSpaceDE w:val="0"/>
              <w:autoSpaceDN w:val="0"/>
              <w:jc w:val="center"/>
              <w:rPr>
                <w:rFonts w:ascii="宋体" w:hAnsi="宋体" w:cs="宋体"/>
                <w:color w:val="000000" w:themeColor="text1"/>
                <w:kern w:val="0"/>
                <w:szCs w:val="21"/>
              </w:rPr>
            </w:pPr>
          </w:p>
        </w:tc>
        <w:tc>
          <w:tcPr>
            <w:tcW w:w="76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2只</w:t>
            </w:r>
          </w:p>
        </w:tc>
        <w:tc>
          <w:tcPr>
            <w:tcW w:w="92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良好</w:t>
            </w:r>
          </w:p>
        </w:tc>
        <w:tc>
          <w:tcPr>
            <w:tcW w:w="2606" w:type="dxa"/>
            <w:noWrap/>
          </w:tcPr>
          <w:p>
            <w:pPr>
              <w:rPr>
                <w:rFonts w:ascii="宋体" w:hAnsi="宋体"/>
                <w:color w:val="000000" w:themeColor="text1"/>
              </w:rPr>
            </w:pPr>
            <w:r>
              <w:rPr>
                <w:rFonts w:hint="eastAsia" w:ascii="宋体" w:hAnsi="宋体"/>
                <w:color w:val="000000" w:themeColor="text1"/>
              </w:rP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2508"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应急救援箱</w:t>
            </w:r>
          </w:p>
        </w:tc>
        <w:tc>
          <w:tcPr>
            <w:tcW w:w="1700" w:type="dxa"/>
            <w:noWrap/>
            <w:vAlign w:val="center"/>
          </w:tcPr>
          <w:p>
            <w:pPr>
              <w:autoSpaceDE w:val="0"/>
              <w:autoSpaceDN w:val="0"/>
              <w:jc w:val="center"/>
              <w:rPr>
                <w:rFonts w:ascii="宋体" w:hAnsi="宋体" w:cs="宋体"/>
                <w:color w:val="000000" w:themeColor="text1"/>
                <w:kern w:val="0"/>
                <w:szCs w:val="21"/>
              </w:rPr>
            </w:pPr>
          </w:p>
        </w:tc>
        <w:tc>
          <w:tcPr>
            <w:tcW w:w="76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1个</w:t>
            </w:r>
          </w:p>
        </w:tc>
        <w:tc>
          <w:tcPr>
            <w:tcW w:w="920" w:type="dxa"/>
            <w:noWrap/>
            <w:vAlign w:val="center"/>
          </w:tcPr>
          <w:p>
            <w:pPr>
              <w:autoSpaceDE w:val="0"/>
              <w:autoSpaceDN w:val="0"/>
              <w:jc w:val="center"/>
              <w:rPr>
                <w:rFonts w:ascii="宋体" w:hAnsi="宋体" w:cs="宋体"/>
                <w:color w:val="000000" w:themeColor="text1"/>
                <w:kern w:val="0"/>
                <w:szCs w:val="21"/>
              </w:rPr>
            </w:pPr>
            <w:r>
              <w:rPr>
                <w:rFonts w:hint="eastAsia" w:ascii="宋体" w:hAnsi="宋体" w:cs="宋体"/>
                <w:color w:val="000000" w:themeColor="text1"/>
                <w:kern w:val="0"/>
                <w:szCs w:val="21"/>
              </w:rPr>
              <w:t>良好</w:t>
            </w:r>
          </w:p>
        </w:tc>
        <w:tc>
          <w:tcPr>
            <w:tcW w:w="2606" w:type="dxa"/>
            <w:noWrap/>
          </w:tcPr>
          <w:p>
            <w:pPr>
              <w:rPr>
                <w:rFonts w:ascii="宋体" w:hAnsi="宋体"/>
                <w:color w:val="000000" w:themeColor="text1"/>
              </w:rPr>
            </w:pPr>
            <w:r>
              <w:rPr>
                <w:rFonts w:hint="eastAsia" w:ascii="宋体" w:hAnsi="宋体"/>
                <w:color w:val="000000" w:themeColor="text1"/>
              </w:rPr>
              <w:t>站房</w:t>
            </w:r>
          </w:p>
        </w:tc>
      </w:tr>
    </w:tbl>
    <w:p>
      <w:pPr>
        <w:pStyle w:val="25"/>
        <w:ind w:firstLine="560" w:firstLineChars="200"/>
        <w:rPr>
          <w:rFonts w:eastAsiaTheme="minorEastAsia"/>
          <w:b/>
          <w:snapToGrid w:val="0"/>
          <w:color w:val="000000" w:themeColor="text1"/>
          <w:kern w:val="0"/>
          <w:sz w:val="28"/>
          <w:szCs w:val="28"/>
        </w:rPr>
      </w:pPr>
      <w:r>
        <w:rPr>
          <w:bCs/>
          <w:snapToGrid w:val="0"/>
          <w:color w:val="000000" w:themeColor="text1"/>
          <w:kern w:val="0"/>
          <w:sz w:val="28"/>
          <w:szCs w:val="28"/>
        </w:rPr>
        <w:t>本项目消防依托</w:t>
      </w:r>
      <w:r>
        <w:rPr>
          <w:rFonts w:hint="eastAsia"/>
          <w:bCs/>
          <w:color w:val="000000" w:themeColor="text1"/>
          <w:sz w:val="28"/>
          <w:szCs w:val="28"/>
        </w:rPr>
        <w:t>昭阳区</w:t>
      </w:r>
      <w:r>
        <w:rPr>
          <w:bCs/>
          <w:color w:val="000000" w:themeColor="text1"/>
          <w:sz w:val="28"/>
          <w:szCs w:val="28"/>
        </w:rPr>
        <w:t>消防救援大队，距本项目约</w:t>
      </w:r>
      <w:r>
        <w:rPr>
          <w:rFonts w:hint="eastAsia"/>
          <w:bCs/>
          <w:color w:val="000000" w:themeColor="text1"/>
          <w:sz w:val="28"/>
          <w:szCs w:val="28"/>
        </w:rPr>
        <w:t>10</w:t>
      </w:r>
      <w:r>
        <w:rPr>
          <w:bCs/>
          <w:color w:val="000000" w:themeColor="text1"/>
          <w:sz w:val="28"/>
          <w:szCs w:val="28"/>
        </w:rPr>
        <w:t>km。</w:t>
      </w:r>
    </w:p>
    <w:p>
      <w:pPr>
        <w:spacing w:line="500" w:lineRule="exact"/>
        <w:ind w:firstLine="560" w:firstLineChars="200"/>
        <w:rPr>
          <w:snapToGrid w:val="0"/>
          <w:color w:val="000000" w:themeColor="text1"/>
          <w:kern w:val="0"/>
          <w:sz w:val="28"/>
          <w:szCs w:val="28"/>
        </w:rPr>
      </w:pPr>
      <w:bookmarkStart w:id="621" w:name="_Toc14831"/>
      <w:bookmarkStart w:id="622" w:name="_Toc20275"/>
      <w:bookmarkStart w:id="623" w:name="_Toc4214"/>
      <w:bookmarkStart w:id="624" w:name="_Toc907"/>
      <w:bookmarkStart w:id="625" w:name="_Toc8288"/>
      <w:r>
        <w:rPr>
          <w:snapToGrid w:val="0"/>
          <w:color w:val="000000" w:themeColor="text1"/>
          <w:kern w:val="0"/>
          <w:sz w:val="28"/>
          <w:szCs w:val="28"/>
        </w:rPr>
        <w:t>2</w:t>
      </w:r>
      <w:r>
        <w:rPr>
          <w:rFonts w:hint="eastAsia"/>
          <w:snapToGrid w:val="0"/>
          <w:color w:val="000000" w:themeColor="text1"/>
          <w:kern w:val="0"/>
          <w:sz w:val="28"/>
          <w:szCs w:val="28"/>
        </w:rPr>
        <w:t>.</w:t>
      </w:r>
      <w:r>
        <w:rPr>
          <w:snapToGrid w:val="0"/>
          <w:color w:val="000000" w:themeColor="text1"/>
          <w:kern w:val="0"/>
          <w:sz w:val="28"/>
          <w:szCs w:val="28"/>
        </w:rPr>
        <w:t>安全警示标识</w:t>
      </w:r>
      <w:bookmarkEnd w:id="621"/>
      <w:bookmarkEnd w:id="622"/>
      <w:bookmarkEnd w:id="623"/>
      <w:bookmarkEnd w:id="624"/>
      <w:bookmarkEnd w:id="625"/>
    </w:p>
    <w:p>
      <w:pPr>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该项目</w:t>
      </w:r>
      <w:r>
        <w:rPr>
          <w:rFonts w:hint="eastAsia" w:eastAsiaTheme="minorEastAsia"/>
          <w:snapToGrid w:val="0"/>
          <w:color w:val="000000" w:themeColor="text1"/>
          <w:kern w:val="0"/>
          <w:sz w:val="28"/>
          <w:szCs w:val="28"/>
        </w:rPr>
        <w:t>区域内</w:t>
      </w:r>
      <w:r>
        <w:rPr>
          <w:rFonts w:eastAsiaTheme="minorEastAsia"/>
          <w:snapToGrid w:val="0"/>
          <w:color w:val="000000" w:themeColor="text1"/>
          <w:kern w:val="0"/>
          <w:sz w:val="28"/>
          <w:szCs w:val="28"/>
        </w:rPr>
        <w:t>有“禁止吸烟、禁打手机”</w:t>
      </w:r>
      <w:r>
        <w:rPr>
          <w:rFonts w:hint="eastAsia" w:eastAsiaTheme="minorEastAsia"/>
          <w:snapToGrid w:val="0"/>
          <w:color w:val="000000" w:themeColor="text1"/>
          <w:kern w:val="0"/>
          <w:sz w:val="28"/>
          <w:szCs w:val="28"/>
        </w:rPr>
        <w:t>等</w:t>
      </w:r>
      <w:r>
        <w:rPr>
          <w:rFonts w:eastAsiaTheme="minorEastAsia"/>
          <w:snapToGrid w:val="0"/>
          <w:color w:val="000000" w:themeColor="text1"/>
          <w:kern w:val="0"/>
          <w:sz w:val="28"/>
          <w:szCs w:val="28"/>
        </w:rPr>
        <w:t>标识</w:t>
      </w:r>
      <w:r>
        <w:rPr>
          <w:rFonts w:hint="eastAsia" w:eastAsiaTheme="minorEastAsia"/>
          <w:snapToGrid w:val="0"/>
          <w:color w:val="000000" w:themeColor="text1"/>
          <w:kern w:val="0"/>
          <w:sz w:val="28"/>
          <w:szCs w:val="28"/>
        </w:rPr>
        <w:t>，但</w:t>
      </w:r>
      <w:r>
        <w:rPr>
          <w:rFonts w:hint="eastAsia" w:eastAsiaTheme="minorEastAsia"/>
          <w:snapToGrid w:val="0"/>
          <w:color w:val="000000" w:themeColor="text1"/>
          <w:kern w:val="0"/>
          <w:sz w:val="28"/>
          <w:szCs w:val="28"/>
          <w:lang w:val="en-US" w:eastAsia="zh-CN"/>
        </w:rPr>
        <w:t>安全标识</w:t>
      </w:r>
      <w:r>
        <w:rPr>
          <w:rFonts w:hint="eastAsia" w:eastAsiaTheme="minorEastAsia"/>
          <w:snapToGrid w:val="0"/>
          <w:color w:val="000000" w:themeColor="text1"/>
          <w:kern w:val="0"/>
          <w:sz w:val="28"/>
          <w:szCs w:val="28"/>
        </w:rPr>
        <w:t>老化</w:t>
      </w:r>
      <w:r>
        <w:rPr>
          <w:rFonts w:eastAsiaTheme="minorEastAsia"/>
          <w:snapToGrid w:val="0"/>
          <w:color w:val="000000" w:themeColor="text1"/>
          <w:kern w:val="0"/>
          <w:sz w:val="28"/>
          <w:szCs w:val="28"/>
        </w:rPr>
        <w:t>。</w:t>
      </w:r>
    </w:p>
    <w:p>
      <w:pPr>
        <w:pStyle w:val="19"/>
        <w:spacing w:afterLines="100" w:line="500" w:lineRule="exact"/>
        <w:jc w:val="center"/>
        <w:rPr>
          <w:rFonts w:ascii="楷体_GB2312" w:hAnsi="宋体" w:eastAsia="楷体_GB2312"/>
          <w:color w:val="000000" w:themeColor="text1"/>
          <w:kern w:val="3"/>
        </w:rPr>
      </w:pPr>
      <w:bookmarkStart w:id="626" w:name="_Toc23814"/>
      <w:bookmarkStart w:id="627" w:name="_Toc18860"/>
      <w:bookmarkStart w:id="628" w:name="_Toc19573"/>
      <w:bookmarkStart w:id="629" w:name="_Toc23597"/>
      <w:bookmarkStart w:id="630" w:name="_Toc21453"/>
      <w:bookmarkStart w:id="631" w:name="_Toc24300"/>
      <w:bookmarkStart w:id="632" w:name="_Toc18055"/>
      <w:bookmarkStart w:id="633" w:name="_Toc17760"/>
      <w:bookmarkStart w:id="634" w:name="_Toc4915"/>
      <w:bookmarkStart w:id="635" w:name="_Toc6321"/>
      <w:bookmarkStart w:id="636" w:name="_Toc20364"/>
      <w:bookmarkStart w:id="637" w:name="_Toc13339"/>
      <w:bookmarkStart w:id="638" w:name="_Toc16212"/>
      <w:bookmarkStart w:id="639" w:name="_Toc28121"/>
      <w:bookmarkStart w:id="640" w:name="_Toc23124"/>
      <w:bookmarkStart w:id="641" w:name="_Toc20662_WPSOffice_Level2"/>
      <w:r>
        <w:rPr>
          <w:rFonts w:hint="eastAsia" w:ascii="楷体_GB2312" w:hAnsi="宋体" w:eastAsia="楷体_GB2312"/>
          <w:color w:val="000000" w:themeColor="text1"/>
          <w:kern w:val="3"/>
        </w:rPr>
        <w:t>2.8</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Fonts w:hint="eastAsia" w:ascii="楷体_GB2312" w:hAnsi="宋体" w:eastAsia="楷体_GB2312"/>
          <w:color w:val="000000" w:themeColor="text1"/>
          <w:kern w:val="3"/>
        </w:rPr>
        <w:t>安全设施、措施</w:t>
      </w:r>
      <w:bookmarkEnd w:id="641"/>
    </w:p>
    <w:p>
      <w:pPr>
        <w:pStyle w:val="19"/>
        <w:spacing w:afterLines="100" w:line="500" w:lineRule="exact"/>
        <w:rPr>
          <w:rFonts w:ascii="黑体" w:hAnsi="宋体" w:eastAsia="黑体"/>
          <w:color w:val="000000" w:themeColor="text1"/>
          <w:kern w:val="3"/>
          <w:sz w:val="28"/>
          <w:szCs w:val="28"/>
        </w:rPr>
      </w:pPr>
      <w:bookmarkStart w:id="642" w:name="_Toc10555282"/>
      <w:bookmarkStart w:id="643" w:name="_Toc350931589"/>
      <w:r>
        <w:rPr>
          <w:rFonts w:hint="eastAsia" w:ascii="黑体" w:hAnsi="宋体" w:eastAsia="黑体"/>
          <w:color w:val="000000" w:themeColor="text1"/>
          <w:kern w:val="3"/>
          <w:sz w:val="28"/>
          <w:szCs w:val="28"/>
        </w:rPr>
        <w:t>2.8.1预防事故设施</w:t>
      </w:r>
      <w:bookmarkEnd w:id="642"/>
      <w:bookmarkEnd w:id="643"/>
    </w:p>
    <w:p>
      <w:pPr>
        <w:pStyle w:val="28"/>
        <w:rPr>
          <w:color w:val="000000" w:themeColor="text1"/>
          <w:szCs w:val="28"/>
        </w:rPr>
      </w:pPr>
      <w:r>
        <w:rPr>
          <w:rFonts w:hint="eastAsia"/>
          <w:color w:val="000000" w:themeColor="text1"/>
          <w:szCs w:val="28"/>
        </w:rPr>
        <w:t>1.昭通市耀晨甲醇醇油有限公司监测及信息管理系统包括：办公系统、视频监控系统。</w:t>
      </w:r>
    </w:p>
    <w:p>
      <w:pPr>
        <w:pStyle w:val="28"/>
        <w:rPr>
          <w:color w:val="000000" w:themeColor="text1"/>
          <w:szCs w:val="28"/>
        </w:rPr>
      </w:pPr>
      <w:r>
        <w:rPr>
          <w:rFonts w:hint="eastAsia"/>
          <w:color w:val="000000" w:themeColor="text1"/>
          <w:szCs w:val="28"/>
        </w:rPr>
        <w:t>2.昭通市耀晨甲醇醇油有限公司设置视频监控系统一套。</w:t>
      </w:r>
    </w:p>
    <w:p>
      <w:pPr>
        <w:pStyle w:val="28"/>
        <w:rPr>
          <w:rFonts w:hint="eastAsia"/>
          <w:color w:val="000000" w:themeColor="text1"/>
          <w:szCs w:val="28"/>
        </w:rPr>
      </w:pPr>
      <w:r>
        <w:rPr>
          <w:rFonts w:hint="eastAsia"/>
          <w:color w:val="000000" w:themeColor="text1"/>
          <w:szCs w:val="28"/>
        </w:rPr>
        <w:t>3.昭通市耀晨甲醇醇油有限公司设置液位仪检测系统一套。</w:t>
      </w:r>
    </w:p>
    <w:p>
      <w:pPr>
        <w:pStyle w:val="28"/>
        <w:rPr>
          <w:rFonts w:hint="eastAsia"/>
          <w:color w:val="000000" w:themeColor="text1"/>
          <w:szCs w:val="28"/>
        </w:rPr>
      </w:pPr>
      <w:r>
        <w:rPr>
          <w:rFonts w:hint="eastAsia"/>
          <w:color w:val="000000" w:themeColor="text1"/>
          <w:szCs w:val="28"/>
          <w:lang w:val="en-US" w:eastAsia="zh-CN"/>
        </w:rPr>
        <w:t>4.</w:t>
      </w:r>
      <w:r>
        <w:rPr>
          <w:rFonts w:hint="eastAsia"/>
          <w:color w:val="000000"/>
          <w:sz w:val="28"/>
          <w:szCs w:val="28"/>
          <w:lang w:val="en-US" w:eastAsia="zh-CN"/>
        </w:rPr>
        <w:t>加注机一侧</w:t>
      </w:r>
      <w:r>
        <w:rPr>
          <w:rFonts w:hint="eastAsia" w:ascii="宋体" w:hAnsi="宋体"/>
          <w:color w:val="000000"/>
          <w:sz w:val="28"/>
          <w:szCs w:val="28"/>
        </w:rPr>
        <w:t>设置防碰撞栏杆</w:t>
      </w:r>
      <w:r>
        <w:rPr>
          <w:rFonts w:hint="eastAsia"/>
          <w:color w:val="000000" w:themeColor="text1"/>
          <w:szCs w:val="28"/>
        </w:rPr>
        <w:t>。</w:t>
      </w:r>
    </w:p>
    <w:p>
      <w:pPr>
        <w:spacing w:line="500" w:lineRule="exact"/>
        <w:ind w:firstLine="560" w:firstLineChars="200"/>
        <w:rPr>
          <w:rFonts w:hint="eastAsia" w:ascii="宋体" w:hAnsi="宋体"/>
          <w:color w:val="000000"/>
          <w:sz w:val="28"/>
          <w:szCs w:val="28"/>
        </w:rPr>
      </w:pPr>
      <w:r>
        <w:rPr>
          <w:rFonts w:hint="eastAsia" w:ascii="宋体" w:hAnsi="宋体"/>
          <w:color w:val="000000"/>
          <w:sz w:val="28"/>
          <w:szCs w:val="28"/>
          <w:lang w:val="en-US" w:eastAsia="zh-CN"/>
        </w:rPr>
        <w:t>5.场地内</w:t>
      </w:r>
      <w:r>
        <w:rPr>
          <w:rFonts w:hint="eastAsia" w:ascii="宋体" w:hAnsi="宋体"/>
          <w:color w:val="000000"/>
          <w:sz w:val="28"/>
          <w:szCs w:val="28"/>
        </w:rPr>
        <w:t>设置有严禁烟火标识，设置熄火加油、限速5公里等标识。</w:t>
      </w:r>
    </w:p>
    <w:p>
      <w:pPr>
        <w:pStyle w:val="28"/>
        <w:rPr>
          <w:rFonts w:hint="eastAsia"/>
          <w:color w:val="000000"/>
          <w:sz w:val="28"/>
          <w:szCs w:val="28"/>
          <w:lang w:eastAsia="zh-CN"/>
        </w:rPr>
      </w:pPr>
      <w:r>
        <w:rPr>
          <w:rFonts w:hint="eastAsia"/>
          <w:color w:val="000000"/>
          <w:sz w:val="28"/>
          <w:szCs w:val="28"/>
          <w:lang w:val="en-US" w:eastAsia="zh-CN"/>
        </w:rPr>
        <w:t>6.场地内</w:t>
      </w:r>
      <w:r>
        <w:rPr>
          <w:rFonts w:hint="eastAsia" w:ascii="宋体" w:hAnsi="宋体"/>
          <w:color w:val="000000"/>
          <w:sz w:val="28"/>
          <w:szCs w:val="28"/>
        </w:rPr>
        <w:t>道路为砼地面</w:t>
      </w:r>
      <w:r>
        <w:rPr>
          <w:rFonts w:hint="eastAsia"/>
          <w:color w:val="000000"/>
          <w:sz w:val="28"/>
          <w:szCs w:val="28"/>
          <w:lang w:eastAsia="zh-CN"/>
        </w:rPr>
        <w:t>。</w:t>
      </w:r>
    </w:p>
    <w:p>
      <w:pPr>
        <w:pStyle w:val="28"/>
        <w:rPr>
          <w:rFonts w:hint="eastAsia" w:eastAsia="宋体"/>
          <w:color w:val="000000"/>
          <w:sz w:val="28"/>
          <w:szCs w:val="28"/>
          <w:lang w:eastAsia="zh-CN"/>
        </w:rPr>
      </w:pPr>
      <w:r>
        <w:rPr>
          <w:rFonts w:hint="eastAsia"/>
          <w:color w:val="000000"/>
          <w:sz w:val="28"/>
          <w:szCs w:val="28"/>
          <w:lang w:val="en-US" w:eastAsia="zh-CN"/>
        </w:rPr>
        <w:t>7.在公司区域内（加注区、办公区及储罐区）</w:t>
      </w:r>
      <w:r>
        <w:rPr>
          <w:rFonts w:hint="eastAsia" w:ascii="宋体" w:hAnsi="宋体"/>
          <w:color w:val="000000"/>
          <w:sz w:val="28"/>
          <w:szCs w:val="28"/>
        </w:rPr>
        <w:t>安装了视频监控探头，监控屏幕设置在营业室内</w:t>
      </w:r>
      <w:r>
        <w:rPr>
          <w:rFonts w:hint="eastAsia"/>
          <w:color w:val="000000"/>
          <w:sz w:val="28"/>
          <w:szCs w:val="28"/>
          <w:lang w:eastAsia="zh-CN"/>
        </w:rPr>
        <w:t>。</w:t>
      </w:r>
    </w:p>
    <w:p>
      <w:pPr>
        <w:pStyle w:val="19"/>
        <w:spacing w:afterLines="100" w:line="500" w:lineRule="exact"/>
        <w:rPr>
          <w:rFonts w:ascii="黑体" w:hAnsi="宋体" w:eastAsia="黑体"/>
          <w:color w:val="000000" w:themeColor="text1"/>
          <w:kern w:val="3"/>
          <w:sz w:val="28"/>
          <w:szCs w:val="28"/>
        </w:rPr>
      </w:pPr>
      <w:bookmarkStart w:id="644" w:name="_Toc350931590"/>
      <w:bookmarkStart w:id="645" w:name="_Toc10555283"/>
      <w:r>
        <w:rPr>
          <w:rFonts w:hint="eastAsia" w:ascii="黑体" w:hAnsi="宋体" w:eastAsia="黑体"/>
          <w:color w:val="000000" w:themeColor="text1"/>
          <w:kern w:val="3"/>
          <w:sz w:val="28"/>
          <w:szCs w:val="28"/>
        </w:rPr>
        <w:t>2.8.2安全防护设备设施</w:t>
      </w:r>
      <w:bookmarkEnd w:id="644"/>
      <w:bookmarkEnd w:id="645"/>
    </w:p>
    <w:p>
      <w:pPr>
        <w:pStyle w:val="28"/>
        <w:rPr>
          <w:color w:val="000000" w:themeColor="text1"/>
          <w:szCs w:val="28"/>
        </w:rPr>
      </w:pPr>
      <w:r>
        <w:rPr>
          <w:rFonts w:hint="eastAsia"/>
          <w:color w:val="000000" w:themeColor="text1"/>
          <w:szCs w:val="28"/>
        </w:rPr>
        <w:t>1.防雷、防静电</w:t>
      </w:r>
    </w:p>
    <w:p>
      <w:pPr>
        <w:pStyle w:val="28"/>
        <w:rPr>
          <w:color w:val="000000" w:themeColor="text1"/>
          <w:szCs w:val="28"/>
        </w:rPr>
      </w:pPr>
      <w:r>
        <w:rPr>
          <w:rFonts w:hint="eastAsia"/>
          <w:color w:val="000000" w:themeColor="text1"/>
          <w:szCs w:val="28"/>
        </w:rPr>
        <w:t>储罐每座做对称两组接地，管线的始、末端和分支处做接地装置，在罩棚四周设置避雷网，法兰作跨接，卸车场地设置有防静电接地装置，公司所有接地做成一个接地网。云南省气象灾害防御技术中心对公司的设备设施进行了防雷防静电装置检测：防雷防静电接地电阻值合格。公司为现场工作的员工配备了防静电工作服，现场检查员工为正确穿戴防静电工作服。</w:t>
      </w:r>
    </w:p>
    <w:p>
      <w:pPr>
        <w:pStyle w:val="28"/>
        <w:rPr>
          <w:color w:val="000000" w:themeColor="text1"/>
          <w:szCs w:val="28"/>
        </w:rPr>
      </w:pPr>
      <w:r>
        <w:rPr>
          <w:rFonts w:hint="eastAsia"/>
          <w:color w:val="000000" w:themeColor="text1"/>
          <w:szCs w:val="28"/>
        </w:rPr>
        <w:t>2.设施防腐</w:t>
      </w:r>
    </w:p>
    <w:p>
      <w:pPr>
        <w:pStyle w:val="28"/>
        <w:rPr>
          <w:color w:val="000000" w:themeColor="text1"/>
          <w:szCs w:val="28"/>
        </w:rPr>
      </w:pPr>
      <w:r>
        <w:rPr>
          <w:rFonts w:hint="eastAsia"/>
          <w:color w:val="000000" w:themeColor="text1"/>
          <w:szCs w:val="28"/>
        </w:rPr>
        <w:t>公司的埋地储罐和埋地工艺管道外表面的防腐采用加强级防腐。储罐的周围按规范回填细沙，厚度0.3m，储罐的顶部覆土厚度0.5m。</w:t>
      </w:r>
    </w:p>
    <w:p>
      <w:pPr>
        <w:pStyle w:val="28"/>
        <w:rPr>
          <w:color w:val="000000" w:themeColor="text1"/>
          <w:szCs w:val="28"/>
        </w:rPr>
      </w:pPr>
      <w:r>
        <w:rPr>
          <w:rFonts w:hint="eastAsia"/>
          <w:color w:val="000000" w:themeColor="text1"/>
          <w:szCs w:val="28"/>
        </w:rPr>
        <w:t>3.防渗漏</w:t>
      </w:r>
    </w:p>
    <w:p>
      <w:pPr>
        <w:pStyle w:val="28"/>
        <w:rPr>
          <w:color w:val="000000" w:themeColor="text1"/>
          <w:szCs w:val="28"/>
        </w:rPr>
      </w:pPr>
      <w:r>
        <w:rPr>
          <w:rFonts w:hint="eastAsia"/>
          <w:color w:val="000000" w:themeColor="text1"/>
          <w:szCs w:val="28"/>
        </w:rPr>
        <w:t>储罐出厂前经过空气试压检测，有合格证。管线安装完成后进行了气密性检验，无泄漏。</w:t>
      </w:r>
    </w:p>
    <w:p>
      <w:pPr>
        <w:pStyle w:val="28"/>
        <w:rPr>
          <w:color w:val="000000" w:themeColor="text1"/>
          <w:szCs w:val="28"/>
        </w:rPr>
      </w:pPr>
      <w:r>
        <w:rPr>
          <w:rFonts w:hint="eastAsia"/>
          <w:color w:val="000000" w:themeColor="text1"/>
          <w:szCs w:val="28"/>
        </w:rPr>
        <w:t>4.防浮</w:t>
      </w:r>
    </w:p>
    <w:p>
      <w:pPr>
        <w:pStyle w:val="28"/>
        <w:rPr>
          <w:color w:val="000000" w:themeColor="text1"/>
          <w:szCs w:val="28"/>
        </w:rPr>
      </w:pPr>
      <w:r>
        <w:rPr>
          <w:rFonts w:hint="eastAsia"/>
          <w:color w:val="000000" w:themeColor="text1"/>
          <w:szCs w:val="28"/>
        </w:rPr>
        <w:t>公司2个钢制卧式埋地储罐在修建时已经采用防止上浮的有效措施，避免储罐漂浮及拉断管线，造成跑、冒、漏发生火灾事故或环境污染事故。</w:t>
      </w:r>
    </w:p>
    <w:p>
      <w:pPr>
        <w:pStyle w:val="19"/>
        <w:spacing w:afterLines="100" w:line="500" w:lineRule="exact"/>
        <w:rPr>
          <w:rFonts w:ascii="黑体" w:hAnsi="宋体" w:eastAsia="黑体"/>
          <w:color w:val="000000" w:themeColor="text1"/>
          <w:kern w:val="3"/>
          <w:sz w:val="28"/>
          <w:szCs w:val="28"/>
        </w:rPr>
      </w:pPr>
      <w:bookmarkStart w:id="646" w:name="_Toc10555284"/>
      <w:bookmarkStart w:id="647" w:name="_Toc350931591"/>
      <w:r>
        <w:rPr>
          <w:rFonts w:hint="eastAsia" w:ascii="黑体" w:hAnsi="宋体" w:eastAsia="黑体"/>
          <w:color w:val="000000" w:themeColor="text1"/>
          <w:kern w:val="3"/>
          <w:sz w:val="28"/>
          <w:szCs w:val="28"/>
        </w:rPr>
        <w:t>2.8.3防爆设施</w:t>
      </w:r>
      <w:bookmarkEnd w:id="646"/>
      <w:bookmarkEnd w:id="647"/>
    </w:p>
    <w:p>
      <w:pPr>
        <w:ind w:firstLine="560" w:firstLineChars="200"/>
        <w:rPr>
          <w:rFonts w:ascii="宋体" w:hAnsi="宋体"/>
          <w:color w:val="000000" w:themeColor="text1"/>
          <w:kern w:val="0"/>
          <w:sz w:val="28"/>
          <w:szCs w:val="44"/>
        </w:rPr>
      </w:pPr>
      <w:r>
        <w:rPr>
          <w:rFonts w:hint="eastAsia" w:ascii="宋体" w:hAnsi="宋体"/>
          <w:color w:val="000000" w:themeColor="text1"/>
          <w:kern w:val="0"/>
          <w:sz w:val="28"/>
          <w:szCs w:val="44"/>
        </w:rPr>
        <w:t>项目建设时按照规范的要求，选用有防爆产品合格证的加注机，电器开关及灯具均选用防爆型。</w:t>
      </w:r>
    </w:p>
    <w:p>
      <w:pPr>
        <w:pStyle w:val="19"/>
        <w:spacing w:afterLines="100" w:line="500" w:lineRule="exact"/>
        <w:rPr>
          <w:rFonts w:ascii="黑体" w:hAnsi="宋体" w:eastAsia="黑体"/>
          <w:color w:val="000000" w:themeColor="text1"/>
          <w:kern w:val="3"/>
          <w:sz w:val="28"/>
          <w:szCs w:val="28"/>
        </w:rPr>
      </w:pPr>
      <w:bookmarkStart w:id="648" w:name="_Toc10555285"/>
      <w:bookmarkStart w:id="649" w:name="_Toc350931592"/>
      <w:r>
        <w:rPr>
          <w:rFonts w:hint="eastAsia" w:ascii="黑体" w:hAnsi="宋体" w:eastAsia="黑体"/>
          <w:color w:val="000000" w:themeColor="text1"/>
          <w:kern w:val="3"/>
          <w:sz w:val="28"/>
          <w:szCs w:val="28"/>
        </w:rPr>
        <w:t>2.8.4安全警示标志</w:t>
      </w:r>
      <w:bookmarkEnd w:id="648"/>
      <w:bookmarkEnd w:id="649"/>
    </w:p>
    <w:p>
      <w:pPr>
        <w:ind w:firstLine="420" w:firstLineChars="150"/>
        <w:rPr>
          <w:rFonts w:ascii="宋体" w:hAnsi="宋体"/>
          <w:color w:val="000000" w:themeColor="text1"/>
          <w:sz w:val="28"/>
        </w:rPr>
      </w:pPr>
      <w:r>
        <w:rPr>
          <w:rFonts w:hint="eastAsia" w:ascii="宋体" w:hAnsi="宋体"/>
          <w:color w:val="000000" w:themeColor="text1"/>
          <w:sz w:val="28"/>
        </w:rPr>
        <w:t>公司设置有“严禁烟火”、“禁止打手机”、“有点危险”“监控区域”等安全警示标志，在进、出口设有指示标志及限速标志。</w:t>
      </w:r>
    </w:p>
    <w:p>
      <w:pPr>
        <w:pStyle w:val="19"/>
        <w:spacing w:afterLines="100" w:line="500" w:lineRule="exact"/>
        <w:rPr>
          <w:rFonts w:ascii="黑体" w:hAnsi="宋体" w:eastAsia="黑体"/>
          <w:color w:val="000000" w:themeColor="text1"/>
          <w:kern w:val="3"/>
          <w:sz w:val="28"/>
          <w:szCs w:val="28"/>
        </w:rPr>
      </w:pPr>
      <w:bookmarkStart w:id="650" w:name="_Toc350931593"/>
      <w:bookmarkStart w:id="651" w:name="_Toc10555286"/>
      <w:r>
        <w:rPr>
          <w:rFonts w:hint="eastAsia" w:ascii="黑体" w:hAnsi="宋体" w:eastAsia="黑体"/>
          <w:color w:val="000000" w:themeColor="text1"/>
          <w:kern w:val="3"/>
          <w:sz w:val="28"/>
          <w:szCs w:val="28"/>
        </w:rPr>
        <w:t>2.8.5控制事故设施</w:t>
      </w:r>
      <w:bookmarkEnd w:id="650"/>
      <w:bookmarkEnd w:id="651"/>
    </w:p>
    <w:p>
      <w:pPr>
        <w:ind w:firstLine="560" w:firstLineChars="200"/>
        <w:rPr>
          <w:rFonts w:ascii="宋体" w:hAnsi="宋体"/>
          <w:color w:val="000000" w:themeColor="text1"/>
          <w:sz w:val="28"/>
        </w:rPr>
      </w:pPr>
      <w:r>
        <w:rPr>
          <w:rFonts w:hint="eastAsia" w:ascii="宋体" w:hAnsi="宋体"/>
          <w:color w:val="000000" w:themeColor="text1"/>
          <w:sz w:val="28"/>
        </w:rPr>
        <w:t>公司按要求在储罐的通气管口配置阻火器；公司禁止明火、吸烟、使用移动电话。</w:t>
      </w:r>
    </w:p>
    <w:p>
      <w:pPr>
        <w:pStyle w:val="19"/>
        <w:spacing w:afterLines="100" w:line="500" w:lineRule="exact"/>
        <w:rPr>
          <w:rFonts w:ascii="黑体" w:hAnsi="宋体" w:eastAsia="黑体"/>
          <w:color w:val="000000" w:themeColor="text1"/>
          <w:kern w:val="3"/>
          <w:sz w:val="28"/>
          <w:szCs w:val="28"/>
        </w:rPr>
      </w:pPr>
      <w:bookmarkStart w:id="652" w:name="_Toc10555287"/>
      <w:bookmarkStart w:id="653" w:name="_Toc350931594"/>
      <w:r>
        <w:rPr>
          <w:rFonts w:hint="eastAsia" w:ascii="黑体" w:hAnsi="宋体" w:eastAsia="黑体"/>
          <w:color w:val="000000" w:themeColor="text1"/>
          <w:kern w:val="3"/>
          <w:sz w:val="28"/>
          <w:szCs w:val="28"/>
        </w:rPr>
        <w:t>2.8.6减少与消除事故影响设施</w:t>
      </w:r>
      <w:bookmarkEnd w:id="652"/>
      <w:bookmarkEnd w:id="653"/>
    </w:p>
    <w:p>
      <w:pPr>
        <w:pStyle w:val="28"/>
        <w:rPr>
          <w:color w:val="000000" w:themeColor="text1"/>
          <w:szCs w:val="28"/>
        </w:rPr>
      </w:pPr>
      <w:r>
        <w:rPr>
          <w:rFonts w:hint="eastAsia"/>
          <w:color w:val="000000" w:themeColor="text1"/>
          <w:szCs w:val="28"/>
        </w:rPr>
        <w:t>防止火灾蔓延设施：项目建设时按照要求在通气管口配置阻火器。</w:t>
      </w:r>
    </w:p>
    <w:p>
      <w:pPr>
        <w:pStyle w:val="28"/>
        <w:rPr>
          <w:color w:val="000000" w:themeColor="text1"/>
          <w:szCs w:val="28"/>
        </w:rPr>
      </w:pPr>
      <w:r>
        <w:rPr>
          <w:rFonts w:hint="eastAsia"/>
          <w:color w:val="000000" w:themeColor="text1"/>
          <w:szCs w:val="28"/>
        </w:rPr>
        <w:t>逃生避难设施：消防通道根据公司设备、设施布置情况修筑，消防通道分别通向储罐区、加注区及站房等区域。公司停车场和道路路面均水泥路面。</w:t>
      </w:r>
    </w:p>
    <w:p>
      <w:pPr>
        <w:pStyle w:val="19"/>
        <w:spacing w:afterLines="100" w:line="500" w:lineRule="exact"/>
        <w:rPr>
          <w:rFonts w:ascii="黑体" w:hAnsi="宋体" w:eastAsia="黑体"/>
          <w:color w:val="000000" w:themeColor="text1"/>
          <w:kern w:val="3"/>
          <w:sz w:val="28"/>
          <w:szCs w:val="28"/>
        </w:rPr>
      </w:pPr>
      <w:bookmarkStart w:id="654" w:name="_Toc350931595"/>
      <w:bookmarkStart w:id="655" w:name="_Toc10555288"/>
      <w:r>
        <w:rPr>
          <w:rFonts w:hint="eastAsia" w:ascii="黑体" w:hAnsi="宋体" w:eastAsia="黑体"/>
          <w:color w:val="000000" w:themeColor="text1"/>
          <w:kern w:val="3"/>
          <w:sz w:val="28"/>
          <w:szCs w:val="28"/>
        </w:rPr>
        <w:t>2.8.7其他安全设施</w:t>
      </w:r>
      <w:bookmarkEnd w:id="654"/>
      <w:bookmarkEnd w:id="655"/>
    </w:p>
    <w:p>
      <w:pPr>
        <w:pStyle w:val="28"/>
        <w:rPr>
          <w:color w:val="000000" w:themeColor="text1"/>
          <w:szCs w:val="28"/>
        </w:rPr>
      </w:pPr>
      <w:r>
        <w:rPr>
          <w:rFonts w:hint="eastAsia"/>
          <w:color w:val="000000" w:themeColor="text1"/>
          <w:szCs w:val="28"/>
        </w:rPr>
        <w:t>1.公司所在地地势平坦，现场未发现危及建筑安全的滑坡、断层、泥石流、采空区、地面沉降等不良地质现象，工程地质条件较好。</w:t>
      </w:r>
    </w:p>
    <w:p>
      <w:pPr>
        <w:pStyle w:val="28"/>
        <w:rPr>
          <w:color w:val="000000" w:themeColor="text1"/>
          <w:szCs w:val="28"/>
        </w:rPr>
      </w:pPr>
      <w:r>
        <w:rPr>
          <w:rFonts w:hint="eastAsia"/>
          <w:color w:val="000000" w:themeColor="text1"/>
          <w:szCs w:val="28"/>
        </w:rPr>
        <w:t>2.公司除进出口以外其他均设置有实体围墙。根据设计要求，公司还在办公室及储罐区一侧修建有一道安全门。</w:t>
      </w:r>
    </w:p>
    <w:p>
      <w:pPr>
        <w:pStyle w:val="19"/>
        <w:spacing w:afterLines="100" w:line="500" w:lineRule="exact"/>
        <w:rPr>
          <w:rFonts w:ascii="黑体" w:hAnsi="宋体" w:eastAsia="黑体"/>
          <w:color w:val="000000" w:themeColor="text1"/>
          <w:kern w:val="3"/>
          <w:sz w:val="28"/>
          <w:szCs w:val="28"/>
        </w:rPr>
      </w:pPr>
      <w:bookmarkStart w:id="656" w:name="_Toc10555289"/>
      <w:bookmarkStart w:id="657" w:name="_Toc521514159"/>
      <w:r>
        <w:rPr>
          <w:rFonts w:hint="eastAsia" w:ascii="黑体" w:hAnsi="宋体" w:eastAsia="黑体"/>
          <w:color w:val="000000" w:themeColor="text1"/>
          <w:kern w:val="3"/>
          <w:sz w:val="28"/>
          <w:szCs w:val="28"/>
        </w:rPr>
        <w:t>2.8.8安全投入情况</w:t>
      </w:r>
      <w:bookmarkEnd w:id="656"/>
      <w:bookmarkEnd w:id="657"/>
    </w:p>
    <w:p>
      <w:pPr>
        <w:spacing w:line="500" w:lineRule="exact"/>
        <w:ind w:firstLine="560" w:firstLineChars="200"/>
        <w:rPr>
          <w:rFonts w:hint="eastAsia" w:ascii="宋体" w:hAnsi="宋体"/>
          <w:color w:val="000000"/>
          <w:sz w:val="28"/>
          <w:szCs w:val="28"/>
          <w:lang w:eastAsia="zh-CN"/>
        </w:rPr>
      </w:pPr>
      <w:r>
        <w:rPr>
          <w:rFonts w:hint="eastAsia" w:ascii="宋体" w:hAnsi="宋体"/>
          <w:color w:val="000000"/>
          <w:sz w:val="28"/>
          <w:szCs w:val="28"/>
        </w:rPr>
        <w:t>该</w:t>
      </w:r>
      <w:r>
        <w:rPr>
          <w:rFonts w:hint="eastAsia" w:ascii="宋体" w:hAnsi="宋体"/>
          <w:color w:val="000000"/>
          <w:sz w:val="28"/>
          <w:szCs w:val="28"/>
          <w:lang w:val="en-US" w:eastAsia="zh-CN"/>
        </w:rPr>
        <w:t>公司</w:t>
      </w:r>
      <w:r>
        <w:rPr>
          <w:rFonts w:hint="eastAsia" w:ascii="宋体" w:hAnsi="宋体"/>
          <w:color w:val="000000"/>
          <w:sz w:val="28"/>
          <w:szCs w:val="28"/>
        </w:rPr>
        <w:t>的安全费用据实支付，建立了安全费用的使用台账，但未及时记录完善。经与</w:t>
      </w:r>
      <w:r>
        <w:rPr>
          <w:rFonts w:hint="eastAsia" w:ascii="宋体" w:hAnsi="宋体"/>
          <w:color w:val="000000"/>
          <w:sz w:val="28"/>
          <w:szCs w:val="28"/>
          <w:lang w:val="en-US" w:eastAsia="zh-CN"/>
        </w:rPr>
        <w:t>公司</w:t>
      </w:r>
      <w:r>
        <w:rPr>
          <w:rFonts w:hint="eastAsia" w:ascii="宋体" w:hAnsi="宋体"/>
          <w:color w:val="000000"/>
          <w:sz w:val="28"/>
          <w:szCs w:val="28"/>
        </w:rPr>
        <w:t>负责人现场交流，</w:t>
      </w:r>
      <w:r>
        <w:rPr>
          <w:rFonts w:hint="eastAsia" w:ascii="宋体" w:hAnsi="宋体"/>
          <w:color w:val="000000"/>
          <w:sz w:val="28"/>
          <w:szCs w:val="28"/>
          <w:lang w:val="en-US" w:eastAsia="zh-CN"/>
        </w:rPr>
        <w:t>耀晨公司</w:t>
      </w:r>
      <w:r>
        <w:rPr>
          <w:rFonts w:hint="eastAsia" w:ascii="宋体" w:hAnsi="宋体"/>
          <w:color w:val="000000"/>
          <w:sz w:val="28"/>
          <w:szCs w:val="28"/>
        </w:rPr>
        <w:t>的安全投入主要用于安全警示标志的购买和安装、安全教育培训、消防设施、防雷设施检测、劳动防护用品、工伤保险及事故隐患整改等</w:t>
      </w:r>
      <w:r>
        <w:rPr>
          <w:rFonts w:hint="eastAsia" w:ascii="宋体" w:hAnsi="宋体"/>
          <w:color w:val="000000"/>
          <w:sz w:val="28"/>
          <w:szCs w:val="28"/>
          <w:lang w:eastAsia="zh-CN"/>
        </w:rPr>
        <w:t>。</w:t>
      </w:r>
    </w:p>
    <w:p>
      <w:pPr>
        <w:ind w:firstLine="560" w:firstLineChars="200"/>
        <w:rPr>
          <w:rFonts w:ascii="宋体" w:hAnsi="宋体"/>
          <w:color w:val="000000" w:themeColor="text1"/>
          <w:sz w:val="28"/>
          <w:szCs w:val="28"/>
        </w:rPr>
      </w:pPr>
      <w:r>
        <w:rPr>
          <w:rFonts w:hint="eastAsia" w:ascii="宋体" w:hAnsi="宋体" w:eastAsia="宋体" w:cs="Times New Roman"/>
          <w:color w:val="000000"/>
          <w:sz w:val="28"/>
          <w:szCs w:val="28"/>
          <w:lang w:val="en-US" w:eastAsia="zh-CN"/>
        </w:rPr>
        <w:t>经现场询问加油站于202</w:t>
      </w:r>
      <w:r>
        <w:rPr>
          <w:rFonts w:hint="eastAsia" w:ascii="宋体" w:hAnsi="宋体" w:cs="Times New Roman"/>
          <w:color w:val="000000"/>
          <w:sz w:val="28"/>
          <w:szCs w:val="28"/>
          <w:lang w:val="en-US" w:eastAsia="zh-CN"/>
        </w:rPr>
        <w:t>5</w:t>
      </w:r>
      <w:r>
        <w:rPr>
          <w:rFonts w:hint="eastAsia" w:ascii="宋体" w:hAnsi="宋体" w:eastAsia="宋体" w:cs="Times New Roman"/>
          <w:color w:val="000000"/>
          <w:sz w:val="28"/>
          <w:szCs w:val="28"/>
          <w:lang w:val="en-US" w:eastAsia="zh-CN"/>
        </w:rPr>
        <w:t>年1-</w:t>
      </w:r>
      <w:r>
        <w:rPr>
          <w:rFonts w:hint="eastAsia" w:ascii="宋体" w:hAnsi="宋体" w:cs="Times New Roman"/>
          <w:color w:val="000000"/>
          <w:sz w:val="28"/>
          <w:szCs w:val="28"/>
          <w:lang w:val="en-US" w:eastAsia="zh-CN"/>
        </w:rPr>
        <w:t>6</w:t>
      </w:r>
      <w:r>
        <w:rPr>
          <w:rFonts w:hint="eastAsia" w:ascii="宋体" w:hAnsi="宋体" w:eastAsia="宋体" w:cs="Times New Roman"/>
          <w:color w:val="000000"/>
          <w:sz w:val="28"/>
          <w:szCs w:val="28"/>
          <w:lang w:val="en-US" w:eastAsia="zh-CN"/>
        </w:rPr>
        <w:t>月用于教育培训、设备设施维护、演练等安全投入约</w:t>
      </w:r>
      <w:r>
        <w:rPr>
          <w:rFonts w:hint="eastAsia" w:ascii="宋体" w:hAnsi="宋体" w:cs="Times New Roman"/>
          <w:color w:val="000000"/>
          <w:sz w:val="28"/>
          <w:szCs w:val="28"/>
          <w:lang w:val="en-US" w:eastAsia="zh-CN"/>
        </w:rPr>
        <w:t>1.5</w:t>
      </w:r>
      <w:r>
        <w:rPr>
          <w:rFonts w:hint="eastAsia" w:ascii="宋体" w:hAnsi="宋体" w:eastAsia="宋体" w:cs="Times New Roman"/>
          <w:color w:val="000000"/>
          <w:sz w:val="28"/>
          <w:szCs w:val="28"/>
          <w:lang w:val="en-US" w:eastAsia="zh-CN"/>
        </w:rPr>
        <w:t>万元</w:t>
      </w:r>
      <w:r>
        <w:rPr>
          <w:rFonts w:hint="eastAsia" w:ascii="宋体" w:hAnsi="宋体"/>
          <w:color w:val="000000" w:themeColor="text1"/>
          <w:sz w:val="28"/>
          <w:szCs w:val="28"/>
        </w:rPr>
        <w:t>。</w:t>
      </w:r>
    </w:p>
    <w:bookmarkEnd w:id="453"/>
    <w:bookmarkEnd w:id="454"/>
    <w:p>
      <w:pPr>
        <w:pStyle w:val="19"/>
        <w:spacing w:afterLines="100" w:line="500" w:lineRule="exact"/>
        <w:jc w:val="center"/>
        <w:rPr>
          <w:rFonts w:ascii="楷体_GB2312" w:hAnsi="宋体" w:eastAsia="楷体_GB2312"/>
          <w:color w:val="000000" w:themeColor="text1"/>
          <w:kern w:val="3"/>
        </w:rPr>
      </w:pPr>
      <w:bookmarkStart w:id="658" w:name="_Toc27247"/>
      <w:bookmarkStart w:id="659" w:name="_Toc23103"/>
      <w:bookmarkStart w:id="660" w:name="_Toc27021"/>
      <w:bookmarkStart w:id="661" w:name="_Toc194389903"/>
      <w:bookmarkStart w:id="662" w:name="_Toc11772"/>
      <w:bookmarkStart w:id="663" w:name="_Toc21560"/>
      <w:bookmarkStart w:id="664" w:name="_Toc25998"/>
      <w:bookmarkStart w:id="665" w:name="_Toc14885"/>
      <w:bookmarkStart w:id="666" w:name="_Toc12432"/>
      <w:bookmarkStart w:id="667" w:name="_Toc19665"/>
      <w:bookmarkStart w:id="668" w:name="_Toc24813"/>
      <w:bookmarkStart w:id="669" w:name="_Toc217444187"/>
      <w:bookmarkStart w:id="670" w:name="_Toc191728139"/>
      <w:bookmarkStart w:id="671" w:name="_Toc17212"/>
      <w:bookmarkStart w:id="672" w:name="_Toc4821"/>
      <w:bookmarkStart w:id="673" w:name="_Toc15751_WPSOffice_Level2"/>
      <w:bookmarkStart w:id="674" w:name="_Toc26380"/>
      <w:bookmarkStart w:id="675" w:name="_Toc191729699"/>
      <w:bookmarkStart w:id="676" w:name="_Toc7745"/>
      <w:bookmarkStart w:id="677" w:name="_Toc191729995"/>
      <w:bookmarkStart w:id="678" w:name="_Toc8599"/>
      <w:bookmarkStart w:id="679" w:name="_Toc16208"/>
      <w:bookmarkStart w:id="680" w:name="_Toc60043407"/>
      <w:bookmarkStart w:id="681" w:name="_Toc152344943"/>
      <w:bookmarkStart w:id="682" w:name="_Toc60043728"/>
      <w:r>
        <w:rPr>
          <w:rFonts w:hint="eastAsia" w:ascii="楷体_GB2312" w:hAnsi="宋体" w:eastAsia="楷体_GB2312"/>
          <w:color w:val="000000" w:themeColor="text1"/>
          <w:kern w:val="3"/>
        </w:rPr>
        <w:t>2.9安全管理</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pStyle w:val="19"/>
        <w:spacing w:afterLines="100" w:line="500" w:lineRule="exact"/>
        <w:rPr>
          <w:rFonts w:ascii="黑体" w:hAnsi="宋体" w:eastAsia="黑体"/>
          <w:color w:val="000000" w:themeColor="text1"/>
          <w:kern w:val="3"/>
          <w:sz w:val="28"/>
          <w:szCs w:val="28"/>
        </w:rPr>
      </w:pPr>
      <w:bookmarkStart w:id="683" w:name="_Toc23931"/>
      <w:bookmarkStart w:id="684" w:name="_Toc217444188"/>
      <w:bookmarkStart w:id="685" w:name="_Toc28666"/>
      <w:bookmarkStart w:id="686" w:name="_Toc27934"/>
      <w:bookmarkStart w:id="687" w:name="_Toc8798"/>
      <w:bookmarkStart w:id="688" w:name="_Toc191729700"/>
      <w:bookmarkStart w:id="689" w:name="_Toc24286"/>
      <w:bookmarkStart w:id="690" w:name="_Toc27154"/>
      <w:bookmarkStart w:id="691" w:name="_Toc194389904"/>
      <w:bookmarkStart w:id="692" w:name="_Toc25244"/>
      <w:bookmarkStart w:id="693" w:name="_Toc31587"/>
      <w:bookmarkStart w:id="694" w:name="_Toc31252"/>
      <w:bookmarkStart w:id="695" w:name="_Toc191728140"/>
      <w:bookmarkStart w:id="696" w:name="_Toc191729996"/>
      <w:bookmarkStart w:id="697" w:name="_Toc2900"/>
      <w:bookmarkStart w:id="698" w:name="_Toc2249"/>
      <w:r>
        <w:rPr>
          <w:rFonts w:hint="eastAsia" w:ascii="黑体" w:hAnsi="宋体" w:eastAsia="黑体"/>
          <w:color w:val="000000" w:themeColor="text1"/>
          <w:kern w:val="3"/>
          <w:sz w:val="28"/>
          <w:szCs w:val="28"/>
        </w:rPr>
        <w:t>2.9.1安全管理组织机构</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pPr>
        <w:tabs>
          <w:tab w:val="left" w:pos="3168"/>
        </w:tabs>
        <w:adjustRightInd w:val="0"/>
        <w:snapToGrid w:val="0"/>
        <w:spacing w:line="500" w:lineRule="exact"/>
        <w:ind w:firstLine="560" w:firstLineChars="200"/>
        <w:rPr>
          <w:rFonts w:hint="eastAsia" w:eastAsia="宋体"/>
          <w:color w:val="000000" w:themeColor="text1"/>
          <w:sz w:val="24"/>
          <w:szCs w:val="24"/>
          <w:lang w:eastAsia="zh-CN"/>
        </w:rPr>
      </w:pPr>
      <w:r>
        <w:rPr>
          <w:rFonts w:hint="eastAsia" w:ascii="宋体" w:hAnsi="宋体"/>
          <w:color w:val="000000" w:themeColor="text1"/>
          <w:sz w:val="28"/>
          <w:szCs w:val="28"/>
        </w:rPr>
        <w:t>昭通市耀晨甲醇醇油有限公司</w:t>
      </w:r>
      <w:r>
        <w:rPr>
          <w:color w:val="000000" w:themeColor="text1"/>
          <w:sz w:val="28"/>
          <w:szCs w:val="28"/>
        </w:rPr>
        <w:t>成立了安全领导小组，制定了安全领导小组职责。</w:t>
      </w:r>
      <w:r>
        <w:rPr>
          <w:rFonts w:hint="eastAsia"/>
          <w:color w:val="000000" w:themeColor="text1"/>
          <w:sz w:val="28"/>
          <w:szCs w:val="28"/>
          <w:lang w:val="en-US" w:eastAsia="zh-CN"/>
        </w:rPr>
        <w:t>公司</w:t>
      </w:r>
      <w:r>
        <w:rPr>
          <w:rFonts w:ascii="宋体" w:hAnsi="宋体"/>
          <w:color w:val="000000"/>
          <w:sz w:val="28"/>
          <w:szCs w:val="28"/>
        </w:rPr>
        <w:t>设立</w:t>
      </w:r>
      <w:r>
        <w:rPr>
          <w:rFonts w:hint="eastAsia" w:ascii="宋体" w:hAnsi="宋体"/>
          <w:color w:val="000000"/>
          <w:sz w:val="28"/>
          <w:szCs w:val="28"/>
        </w:rPr>
        <w:t>了由全体员工参加，站长负责的</w:t>
      </w:r>
      <w:r>
        <w:rPr>
          <w:rFonts w:ascii="宋体" w:hAnsi="宋体"/>
          <w:color w:val="000000"/>
          <w:sz w:val="28"/>
          <w:szCs w:val="28"/>
        </w:rPr>
        <w:t>安全领导小组</w:t>
      </w:r>
      <w:r>
        <w:rPr>
          <w:rFonts w:hint="eastAsia" w:ascii="宋体" w:hAnsi="宋体"/>
          <w:color w:val="000000"/>
          <w:sz w:val="28"/>
          <w:szCs w:val="28"/>
        </w:rPr>
        <w:t>和</w:t>
      </w:r>
      <w:r>
        <w:rPr>
          <w:rFonts w:ascii="宋体" w:hAnsi="宋体"/>
          <w:color w:val="000000"/>
          <w:sz w:val="28"/>
          <w:szCs w:val="28"/>
        </w:rPr>
        <w:t>义务消防队</w:t>
      </w:r>
      <w:r>
        <w:rPr>
          <w:rFonts w:hint="eastAsia" w:ascii="宋体" w:hAnsi="宋体"/>
          <w:color w:val="000000"/>
          <w:sz w:val="28"/>
          <w:szCs w:val="28"/>
        </w:rPr>
        <w:t>；</w:t>
      </w:r>
      <w:r>
        <w:rPr>
          <w:rFonts w:ascii="宋体" w:hAnsi="宋体"/>
          <w:color w:val="000000"/>
          <w:sz w:val="28"/>
          <w:szCs w:val="28"/>
        </w:rPr>
        <w:t>有比较完善的安全管理制度</w:t>
      </w:r>
      <w:r>
        <w:rPr>
          <w:rFonts w:hint="eastAsia" w:ascii="宋体" w:hAnsi="宋体"/>
          <w:color w:val="000000"/>
          <w:sz w:val="28"/>
          <w:szCs w:val="28"/>
        </w:rPr>
        <w:t>；站长及安全员</w:t>
      </w:r>
      <w:r>
        <w:rPr>
          <w:rFonts w:ascii="宋体" w:hAnsi="宋体"/>
          <w:color w:val="000000"/>
          <w:sz w:val="28"/>
          <w:szCs w:val="28"/>
        </w:rPr>
        <w:t>参加</w:t>
      </w:r>
      <w:r>
        <w:rPr>
          <w:rFonts w:hint="eastAsia" w:ascii="宋体" w:hAnsi="宋体"/>
          <w:color w:val="000000"/>
          <w:sz w:val="28"/>
          <w:szCs w:val="28"/>
        </w:rPr>
        <w:t>了</w:t>
      </w:r>
      <w:r>
        <w:rPr>
          <w:rFonts w:ascii="宋体" w:hAnsi="宋体"/>
          <w:color w:val="000000"/>
          <w:sz w:val="28"/>
          <w:szCs w:val="28"/>
        </w:rPr>
        <w:t>培训</w:t>
      </w:r>
      <w:r>
        <w:rPr>
          <w:rFonts w:hint="eastAsia" w:ascii="宋体" w:hAnsi="宋体"/>
          <w:color w:val="000000"/>
          <w:sz w:val="28"/>
          <w:szCs w:val="28"/>
        </w:rPr>
        <w:t>并取得安全管理资格证。</w:t>
      </w:r>
    </w:p>
    <w:p>
      <w:pPr>
        <w:pStyle w:val="19"/>
        <w:spacing w:afterLines="100" w:line="500" w:lineRule="exact"/>
        <w:rPr>
          <w:rFonts w:ascii="黑体" w:hAnsi="宋体" w:eastAsia="黑体"/>
          <w:color w:val="000000" w:themeColor="text1"/>
          <w:kern w:val="3"/>
          <w:sz w:val="28"/>
          <w:szCs w:val="28"/>
        </w:rPr>
      </w:pPr>
      <w:bookmarkStart w:id="699" w:name="_Toc31718"/>
      <w:bookmarkStart w:id="700" w:name="_Toc4096"/>
      <w:bookmarkStart w:id="701" w:name="_Toc28931"/>
      <w:bookmarkStart w:id="702" w:name="_Toc17123"/>
      <w:bookmarkStart w:id="703" w:name="_Toc16769"/>
      <w:bookmarkStart w:id="704" w:name="_Toc17288"/>
      <w:bookmarkStart w:id="705" w:name="_Toc30055"/>
      <w:bookmarkStart w:id="706" w:name="_Toc15314"/>
      <w:bookmarkStart w:id="707" w:name="_Toc21198"/>
      <w:bookmarkStart w:id="708" w:name="_Toc23085"/>
      <w:r>
        <w:rPr>
          <w:rFonts w:hint="eastAsia" w:ascii="黑体" w:hAnsi="宋体" w:eastAsia="黑体"/>
          <w:color w:val="000000" w:themeColor="text1"/>
          <w:kern w:val="3"/>
          <w:sz w:val="28"/>
          <w:szCs w:val="28"/>
        </w:rPr>
        <w:t>2.9.2劳动定员及工作制度</w:t>
      </w:r>
      <w:bookmarkEnd w:id="699"/>
      <w:bookmarkEnd w:id="700"/>
      <w:bookmarkEnd w:id="701"/>
      <w:bookmarkEnd w:id="702"/>
      <w:bookmarkEnd w:id="703"/>
      <w:bookmarkEnd w:id="704"/>
      <w:bookmarkEnd w:id="705"/>
      <w:bookmarkEnd w:id="706"/>
      <w:bookmarkEnd w:id="707"/>
      <w:bookmarkEnd w:id="708"/>
    </w:p>
    <w:p>
      <w:pPr>
        <w:tabs>
          <w:tab w:val="left" w:pos="3168"/>
        </w:tabs>
        <w:adjustRightInd w:val="0"/>
        <w:snapToGrid w:val="0"/>
        <w:spacing w:line="500" w:lineRule="exact"/>
        <w:ind w:firstLine="560" w:firstLineChars="200"/>
        <w:rPr>
          <w:color w:val="000000" w:themeColor="text1"/>
          <w:sz w:val="28"/>
          <w:szCs w:val="28"/>
        </w:rPr>
      </w:pPr>
      <w:r>
        <w:rPr>
          <w:color w:val="000000" w:themeColor="text1"/>
          <w:sz w:val="28"/>
          <w:szCs w:val="28"/>
        </w:rPr>
        <w:t>目前，该公司涉及从业人员共有</w:t>
      </w:r>
      <w:r>
        <w:rPr>
          <w:rFonts w:hint="eastAsia"/>
          <w:color w:val="000000" w:themeColor="text1"/>
          <w:sz w:val="28"/>
          <w:szCs w:val="28"/>
          <w:lang w:val="en-US" w:eastAsia="zh-CN"/>
        </w:rPr>
        <w:t>3</w:t>
      </w:r>
      <w:r>
        <w:rPr>
          <w:color w:val="000000" w:themeColor="text1"/>
          <w:sz w:val="28"/>
          <w:szCs w:val="28"/>
        </w:rPr>
        <w:t>人，其中法人1名，安全员1名。该公司实行长白班，夜间安排人员值班。</w:t>
      </w:r>
    </w:p>
    <w:p>
      <w:pPr>
        <w:pStyle w:val="19"/>
        <w:spacing w:afterLines="100" w:line="500" w:lineRule="exact"/>
        <w:rPr>
          <w:rFonts w:ascii="黑体" w:hAnsi="宋体" w:eastAsia="黑体"/>
          <w:color w:val="000000" w:themeColor="text1"/>
          <w:kern w:val="3"/>
          <w:sz w:val="28"/>
          <w:szCs w:val="28"/>
        </w:rPr>
      </w:pPr>
      <w:bookmarkStart w:id="709" w:name="_Toc14156"/>
      <w:bookmarkStart w:id="710" w:name="_Toc18604"/>
      <w:bookmarkStart w:id="711" w:name="_Toc29344"/>
      <w:bookmarkStart w:id="712" w:name="_Toc8311"/>
      <w:bookmarkStart w:id="713" w:name="_Toc22270"/>
      <w:bookmarkStart w:id="714" w:name="_Toc4838"/>
      <w:bookmarkStart w:id="715" w:name="_Toc4645"/>
      <w:bookmarkStart w:id="716" w:name="_Toc28038"/>
      <w:bookmarkStart w:id="717" w:name="_Toc6277"/>
      <w:bookmarkStart w:id="718" w:name="_Toc9435"/>
      <w:r>
        <w:rPr>
          <w:rFonts w:hint="eastAsia" w:ascii="黑体" w:hAnsi="宋体" w:eastAsia="黑体"/>
          <w:color w:val="000000" w:themeColor="text1"/>
          <w:kern w:val="3"/>
          <w:sz w:val="28"/>
          <w:szCs w:val="28"/>
        </w:rPr>
        <w:t>2.9.3人员持证情况</w:t>
      </w:r>
      <w:bookmarkEnd w:id="709"/>
      <w:bookmarkEnd w:id="710"/>
      <w:bookmarkEnd w:id="711"/>
      <w:bookmarkEnd w:id="712"/>
      <w:bookmarkEnd w:id="713"/>
      <w:bookmarkEnd w:id="714"/>
      <w:bookmarkEnd w:id="715"/>
      <w:bookmarkEnd w:id="716"/>
      <w:bookmarkEnd w:id="717"/>
      <w:bookmarkEnd w:id="718"/>
    </w:p>
    <w:p>
      <w:pPr>
        <w:spacing w:line="500" w:lineRule="exact"/>
        <w:ind w:firstLine="560" w:firstLineChars="200"/>
        <w:rPr>
          <w:rFonts w:eastAsiaTheme="minorEastAsia"/>
          <w:b/>
          <w:color w:val="000000" w:themeColor="text1"/>
          <w:sz w:val="28"/>
          <w:szCs w:val="28"/>
        </w:rPr>
      </w:pPr>
      <w:r>
        <w:rPr>
          <w:rFonts w:hint="eastAsia" w:ascii="宋体" w:hAnsi="宋体"/>
          <w:color w:val="000000"/>
          <w:sz w:val="28"/>
          <w:szCs w:val="28"/>
          <w:lang w:val="en-US" w:eastAsia="zh-CN"/>
        </w:rPr>
        <w:t>公司法定代表人、</w:t>
      </w:r>
      <w:r>
        <w:rPr>
          <w:rFonts w:hint="eastAsia" w:ascii="宋体" w:hAnsi="宋体"/>
          <w:color w:val="000000"/>
          <w:sz w:val="28"/>
          <w:szCs w:val="28"/>
        </w:rPr>
        <w:t>安全管理人员经培训考核合格，取得安全管理合格证。作业人员经</w:t>
      </w:r>
      <w:r>
        <w:rPr>
          <w:rFonts w:hint="eastAsia" w:ascii="宋体" w:hAnsi="宋体"/>
          <w:color w:val="000000"/>
          <w:sz w:val="28"/>
          <w:szCs w:val="28"/>
          <w:lang w:val="en-US" w:eastAsia="zh-CN"/>
        </w:rPr>
        <w:t>公司</w:t>
      </w:r>
      <w:r>
        <w:rPr>
          <w:rFonts w:hint="eastAsia" w:ascii="宋体" w:hAnsi="宋体"/>
          <w:color w:val="000000"/>
          <w:sz w:val="28"/>
          <w:szCs w:val="28"/>
        </w:rPr>
        <w:t>内部培训合格、上岗作业</w:t>
      </w:r>
      <w:r>
        <w:rPr>
          <w:rFonts w:eastAsiaTheme="minorEastAsia"/>
          <w:color w:val="000000" w:themeColor="text1"/>
          <w:sz w:val="28"/>
          <w:szCs w:val="28"/>
        </w:rPr>
        <w:t>，具体安全管理人员资质情况如下表所示：</w:t>
      </w:r>
    </w:p>
    <w:p>
      <w:pPr>
        <w:rPr>
          <w:rFonts w:eastAsiaTheme="minorEastAsia"/>
          <w:bCs/>
          <w:color w:val="000000" w:themeColor="text1"/>
          <w:sz w:val="24"/>
        </w:rPr>
      </w:pPr>
      <w:r>
        <w:rPr>
          <w:rFonts w:eastAsiaTheme="minorEastAsia"/>
          <w:bCs/>
          <w:color w:val="000000" w:themeColor="text1"/>
          <w:sz w:val="24"/>
        </w:rPr>
        <w:br w:type="page"/>
      </w:r>
    </w:p>
    <w:p>
      <w:pPr>
        <w:spacing w:beforeLines="50"/>
        <w:jc w:val="center"/>
        <w:rPr>
          <w:rFonts w:eastAsiaTheme="minorEastAsia"/>
          <w:bCs/>
          <w:color w:val="000000" w:themeColor="text1"/>
          <w:sz w:val="24"/>
        </w:rPr>
      </w:pPr>
      <w:r>
        <w:rPr>
          <w:rFonts w:eastAsiaTheme="minorEastAsia"/>
          <w:bCs/>
          <w:color w:val="000000" w:themeColor="text1"/>
          <w:sz w:val="24"/>
        </w:rPr>
        <w:t>表2-</w:t>
      </w:r>
      <w:r>
        <w:rPr>
          <w:rFonts w:hint="eastAsia" w:eastAsiaTheme="minorEastAsia"/>
          <w:bCs/>
          <w:color w:val="000000" w:themeColor="text1"/>
          <w:sz w:val="24"/>
        </w:rPr>
        <w:t>6</w:t>
      </w:r>
      <w:r>
        <w:rPr>
          <w:rFonts w:eastAsiaTheme="minorEastAsia"/>
          <w:bCs/>
          <w:color w:val="000000" w:themeColor="text1"/>
          <w:sz w:val="24"/>
        </w:rPr>
        <w:t>安全管理人员持证情况表</w:t>
      </w:r>
    </w:p>
    <w:tbl>
      <w:tblPr>
        <w:tblStyle w:val="52"/>
        <w:tblW w:w="8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910"/>
        <w:gridCol w:w="911"/>
        <w:gridCol w:w="2106"/>
        <w:gridCol w:w="1825"/>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77" w:type="dxa"/>
            <w:noWrap w:val="0"/>
            <w:vAlign w:val="center"/>
          </w:tcPr>
          <w:p>
            <w:pPr>
              <w:spacing w:line="360" w:lineRule="auto"/>
              <w:jc w:val="center"/>
              <w:rPr>
                <w:rFonts w:ascii="宋体" w:hAnsi="宋体"/>
                <w:szCs w:val="21"/>
              </w:rPr>
            </w:pPr>
            <w:r>
              <w:rPr>
                <w:rFonts w:ascii="宋体" w:hAnsi="宋体"/>
                <w:szCs w:val="21"/>
              </w:rPr>
              <w:t>序号</w:t>
            </w:r>
          </w:p>
        </w:tc>
        <w:tc>
          <w:tcPr>
            <w:tcW w:w="920" w:type="dxa"/>
            <w:noWrap w:val="0"/>
            <w:vAlign w:val="center"/>
          </w:tcPr>
          <w:p>
            <w:pPr>
              <w:spacing w:line="360" w:lineRule="auto"/>
              <w:jc w:val="center"/>
              <w:rPr>
                <w:rFonts w:ascii="宋体" w:hAnsi="宋体"/>
                <w:szCs w:val="21"/>
              </w:rPr>
            </w:pPr>
            <w:r>
              <w:rPr>
                <w:rFonts w:ascii="宋体" w:hAnsi="宋体"/>
                <w:szCs w:val="21"/>
              </w:rPr>
              <w:t>姓名</w:t>
            </w:r>
          </w:p>
        </w:tc>
        <w:tc>
          <w:tcPr>
            <w:tcW w:w="921" w:type="dxa"/>
            <w:noWrap w:val="0"/>
            <w:vAlign w:val="center"/>
          </w:tcPr>
          <w:p>
            <w:pPr>
              <w:spacing w:line="360" w:lineRule="auto"/>
              <w:jc w:val="center"/>
              <w:rPr>
                <w:rFonts w:ascii="宋体" w:hAnsi="宋体"/>
                <w:szCs w:val="21"/>
              </w:rPr>
            </w:pPr>
            <w:r>
              <w:rPr>
                <w:rFonts w:ascii="宋体" w:hAnsi="宋体"/>
                <w:szCs w:val="21"/>
              </w:rPr>
              <w:t>职 务</w:t>
            </w:r>
          </w:p>
        </w:tc>
        <w:tc>
          <w:tcPr>
            <w:tcW w:w="2036" w:type="dxa"/>
            <w:noWrap w:val="0"/>
            <w:vAlign w:val="center"/>
          </w:tcPr>
          <w:p>
            <w:pPr>
              <w:spacing w:line="360" w:lineRule="auto"/>
              <w:jc w:val="center"/>
              <w:rPr>
                <w:rFonts w:ascii="宋体" w:hAnsi="宋体"/>
                <w:szCs w:val="21"/>
              </w:rPr>
            </w:pPr>
            <w:r>
              <w:rPr>
                <w:rFonts w:ascii="宋体" w:hAnsi="宋体"/>
                <w:szCs w:val="21"/>
              </w:rPr>
              <w:t>证书类别及</w:t>
            </w:r>
            <w:r>
              <w:rPr>
                <w:rFonts w:hint="eastAsia" w:ascii="宋体" w:hAnsi="宋体"/>
                <w:szCs w:val="21"/>
              </w:rPr>
              <w:t>编</w:t>
            </w:r>
            <w:r>
              <w:rPr>
                <w:rFonts w:ascii="宋体" w:hAnsi="宋体"/>
                <w:szCs w:val="21"/>
              </w:rPr>
              <w:t>号</w:t>
            </w:r>
          </w:p>
        </w:tc>
        <w:tc>
          <w:tcPr>
            <w:tcW w:w="1836" w:type="dxa"/>
            <w:noWrap w:val="0"/>
            <w:vAlign w:val="center"/>
          </w:tcPr>
          <w:p>
            <w:pPr>
              <w:spacing w:line="360" w:lineRule="auto"/>
              <w:jc w:val="center"/>
              <w:rPr>
                <w:rFonts w:ascii="宋体" w:hAnsi="宋体"/>
                <w:szCs w:val="21"/>
              </w:rPr>
            </w:pPr>
            <w:r>
              <w:rPr>
                <w:rFonts w:ascii="宋体" w:hAnsi="宋体"/>
                <w:szCs w:val="21"/>
              </w:rPr>
              <w:t>有效期</w:t>
            </w:r>
          </w:p>
        </w:tc>
        <w:tc>
          <w:tcPr>
            <w:tcW w:w="1991" w:type="dxa"/>
            <w:noWrap w:val="0"/>
            <w:vAlign w:val="center"/>
          </w:tcPr>
          <w:p>
            <w:pPr>
              <w:spacing w:line="360" w:lineRule="auto"/>
              <w:jc w:val="center"/>
              <w:rPr>
                <w:rFonts w:ascii="宋体" w:hAnsi="宋体"/>
                <w:szCs w:val="21"/>
              </w:rPr>
            </w:pPr>
            <w:r>
              <w:rPr>
                <w:rFonts w:ascii="宋体" w:hAnsi="宋体"/>
                <w:szCs w:val="21"/>
              </w:rPr>
              <w:t>发证单位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77" w:type="dxa"/>
            <w:noWrap w:val="0"/>
            <w:vAlign w:val="center"/>
          </w:tcPr>
          <w:p>
            <w:pPr>
              <w:spacing w:line="360" w:lineRule="auto"/>
              <w:jc w:val="center"/>
              <w:rPr>
                <w:rFonts w:ascii="宋体" w:hAnsi="宋体"/>
                <w:szCs w:val="21"/>
              </w:rPr>
            </w:pPr>
            <w:r>
              <w:rPr>
                <w:rFonts w:ascii="宋体" w:hAnsi="宋体"/>
                <w:szCs w:val="21"/>
              </w:rPr>
              <w:t>1</w:t>
            </w:r>
          </w:p>
        </w:tc>
        <w:tc>
          <w:tcPr>
            <w:tcW w:w="920"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杨明书</w:t>
            </w:r>
          </w:p>
        </w:tc>
        <w:tc>
          <w:tcPr>
            <w:tcW w:w="921"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主要负责人</w:t>
            </w:r>
          </w:p>
        </w:tc>
        <w:tc>
          <w:tcPr>
            <w:tcW w:w="2036"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532130196812270054</w:t>
            </w:r>
          </w:p>
        </w:tc>
        <w:tc>
          <w:tcPr>
            <w:tcW w:w="1836"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2028-07-08</w:t>
            </w:r>
          </w:p>
        </w:tc>
        <w:tc>
          <w:tcPr>
            <w:tcW w:w="1991" w:type="dxa"/>
            <w:noWrap w:val="0"/>
            <w:vAlign w:val="center"/>
          </w:tcPr>
          <w:p>
            <w:pPr>
              <w:spacing w:line="360" w:lineRule="auto"/>
              <w:jc w:val="center"/>
              <w:rPr>
                <w:rFonts w:ascii="宋体" w:hAnsi="宋体"/>
                <w:szCs w:val="21"/>
              </w:rPr>
            </w:pPr>
            <w:r>
              <w:rPr>
                <w:rFonts w:hint="eastAsia" w:ascii="宋体" w:hAnsi="宋体"/>
                <w:szCs w:val="21"/>
                <w:lang w:val="en-US" w:eastAsia="zh-CN"/>
              </w:rPr>
              <w:t>昭通市</w:t>
            </w:r>
            <w:r>
              <w:rPr>
                <w:rFonts w:hint="eastAsia" w:ascii="宋体" w:hAnsi="宋体"/>
                <w:szCs w:val="21"/>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77" w:type="dxa"/>
            <w:noWrap w:val="0"/>
            <w:vAlign w:val="center"/>
          </w:tcPr>
          <w:p>
            <w:pPr>
              <w:spacing w:line="300" w:lineRule="exact"/>
              <w:jc w:val="center"/>
              <w:rPr>
                <w:rFonts w:ascii="宋体" w:hAnsi="宋体"/>
                <w:szCs w:val="21"/>
              </w:rPr>
            </w:pPr>
            <w:r>
              <w:rPr>
                <w:rFonts w:hint="eastAsia" w:ascii="宋体" w:hAnsi="宋体"/>
                <w:szCs w:val="21"/>
              </w:rPr>
              <w:t>2</w:t>
            </w:r>
          </w:p>
        </w:tc>
        <w:tc>
          <w:tcPr>
            <w:tcW w:w="920" w:type="dxa"/>
            <w:noWrap w:val="0"/>
            <w:vAlign w:val="center"/>
          </w:tcPr>
          <w:p>
            <w:pPr>
              <w:jc w:val="center"/>
              <w:rPr>
                <w:rFonts w:hint="default" w:ascii="Times New Roman" w:hAnsi="Times New Roman" w:eastAsia="宋体" w:cs="Times New Roman"/>
                <w:smallCaps/>
                <w:color w:val="000000" w:themeColor="text1"/>
                <w:kern w:val="2"/>
                <w:sz w:val="21"/>
                <w:szCs w:val="21"/>
                <w:lang w:val="en-US" w:eastAsia="zh-CN" w:bidi="ar-SA"/>
              </w:rPr>
            </w:pPr>
            <w:r>
              <w:rPr>
                <w:rFonts w:hint="eastAsia"/>
                <w:smallCaps/>
                <w:color w:val="000000" w:themeColor="text1"/>
                <w:szCs w:val="21"/>
                <w:lang w:val="en-US" w:eastAsia="zh-CN"/>
              </w:rPr>
              <w:t>马向琼</w:t>
            </w:r>
          </w:p>
        </w:tc>
        <w:tc>
          <w:tcPr>
            <w:tcW w:w="921" w:type="dxa"/>
            <w:noWrap w:val="0"/>
            <w:vAlign w:val="center"/>
          </w:tcPr>
          <w:p>
            <w:pPr>
              <w:jc w:val="center"/>
              <w:rPr>
                <w:rFonts w:hint="default" w:ascii="Times New Roman" w:hAnsi="Times New Roman" w:eastAsia="宋体" w:cs="Times New Roman"/>
                <w:smallCaps/>
                <w:color w:val="000000" w:themeColor="text1"/>
                <w:kern w:val="2"/>
                <w:sz w:val="21"/>
                <w:szCs w:val="21"/>
                <w:lang w:val="en-US" w:eastAsia="zh-CN" w:bidi="ar-SA"/>
              </w:rPr>
            </w:pPr>
            <w:r>
              <w:rPr>
                <w:rFonts w:hint="eastAsia"/>
                <w:smallCaps/>
                <w:color w:val="000000" w:themeColor="text1"/>
                <w:szCs w:val="21"/>
              </w:rPr>
              <w:t>安全管理人员</w:t>
            </w:r>
          </w:p>
        </w:tc>
        <w:tc>
          <w:tcPr>
            <w:tcW w:w="2036" w:type="dxa"/>
            <w:noWrap w:val="0"/>
            <w:vAlign w:val="center"/>
          </w:tcPr>
          <w:p>
            <w:pPr>
              <w:spacing w:line="360" w:lineRule="auto"/>
              <w:jc w:val="center"/>
              <w:rPr>
                <w:rFonts w:hint="default" w:ascii="宋体" w:hAnsi="宋体"/>
                <w:szCs w:val="21"/>
                <w:lang w:val="en-US" w:eastAsia="zh-CN"/>
              </w:rPr>
            </w:pPr>
            <w:r>
              <w:rPr>
                <w:rFonts w:hint="eastAsia" w:ascii="宋体" w:hAnsi="宋体"/>
                <w:szCs w:val="21"/>
                <w:lang w:val="en-US" w:eastAsia="zh-CN"/>
              </w:rPr>
              <w:t>510524197012244484</w:t>
            </w:r>
          </w:p>
        </w:tc>
        <w:tc>
          <w:tcPr>
            <w:tcW w:w="1836" w:type="dxa"/>
            <w:noWrap w:val="0"/>
            <w:vAlign w:val="center"/>
          </w:tcPr>
          <w:p>
            <w:pPr>
              <w:jc w:val="center"/>
              <w:rPr>
                <w:rFonts w:hint="default" w:ascii="Times New Roman" w:hAnsi="Times New Roman" w:eastAsia="宋体" w:cs="Times New Roman"/>
                <w:smallCaps/>
                <w:color w:val="000000" w:themeColor="text1"/>
                <w:kern w:val="2"/>
                <w:sz w:val="18"/>
                <w:szCs w:val="18"/>
                <w:lang w:val="en-US" w:eastAsia="zh-CN" w:bidi="ar-SA"/>
              </w:rPr>
            </w:pPr>
            <w:r>
              <w:rPr>
                <w:rFonts w:hint="eastAsia" w:ascii="宋体" w:hAnsi="宋体"/>
                <w:szCs w:val="21"/>
                <w:lang w:val="en-US" w:eastAsia="zh-CN"/>
              </w:rPr>
              <w:t>2028-04-07</w:t>
            </w:r>
          </w:p>
        </w:tc>
        <w:tc>
          <w:tcPr>
            <w:tcW w:w="1991" w:type="dxa"/>
            <w:noWrap w:val="0"/>
            <w:vAlign w:val="center"/>
          </w:tcPr>
          <w:p>
            <w:pPr>
              <w:spacing w:line="360" w:lineRule="auto"/>
              <w:jc w:val="center"/>
              <w:rPr>
                <w:rFonts w:hint="default" w:ascii="宋体" w:hAnsi="宋体" w:eastAsia="宋体" w:cs="Times New Roman"/>
                <w:kern w:val="2"/>
                <w:sz w:val="21"/>
                <w:szCs w:val="21"/>
                <w:lang w:val="en-US" w:eastAsia="zh-CN" w:bidi="ar-SA"/>
              </w:rPr>
            </w:pPr>
            <w:r>
              <w:rPr>
                <w:rFonts w:hint="eastAsia" w:ascii="宋体" w:hAnsi="宋体"/>
                <w:szCs w:val="21"/>
                <w:lang w:val="en-US" w:eastAsia="zh-CN"/>
              </w:rPr>
              <w:t>昭通市</w:t>
            </w:r>
            <w:r>
              <w:rPr>
                <w:rFonts w:hint="eastAsia" w:ascii="宋体" w:hAnsi="宋体"/>
                <w:szCs w:val="21"/>
              </w:rPr>
              <w:t>应急管理局</w:t>
            </w:r>
          </w:p>
        </w:tc>
      </w:tr>
    </w:tbl>
    <w:p>
      <w:pPr>
        <w:tabs>
          <w:tab w:val="left" w:pos="3168"/>
        </w:tabs>
        <w:adjustRightInd w:val="0"/>
        <w:snapToGrid w:val="0"/>
        <w:spacing w:line="500" w:lineRule="exact"/>
        <w:ind w:firstLine="560" w:firstLineChars="200"/>
        <w:rPr>
          <w:color w:val="000000" w:themeColor="text1"/>
          <w:kern w:val="0"/>
          <w:sz w:val="28"/>
          <w:szCs w:val="28"/>
        </w:rPr>
      </w:pPr>
      <w:r>
        <w:rPr>
          <w:rFonts w:hint="eastAsia"/>
          <w:color w:val="000000" w:themeColor="text1"/>
          <w:kern w:val="0"/>
          <w:sz w:val="28"/>
          <w:szCs w:val="28"/>
        </w:rPr>
        <w:t>公司</w:t>
      </w:r>
      <w:r>
        <w:rPr>
          <w:color w:val="000000" w:themeColor="text1"/>
          <w:kern w:val="0"/>
          <w:sz w:val="28"/>
          <w:szCs w:val="28"/>
        </w:rPr>
        <w:t>其它操作人员经公司安全教育培训合格后上岗，涉及的电工委托有资质的人或由当地供电部门作业。</w:t>
      </w:r>
    </w:p>
    <w:p>
      <w:pPr>
        <w:pStyle w:val="19"/>
        <w:spacing w:afterLines="100" w:line="500" w:lineRule="exact"/>
        <w:rPr>
          <w:rFonts w:hint="eastAsia" w:ascii="黑体" w:hAnsi="宋体" w:eastAsia="黑体"/>
          <w:color w:val="000000" w:themeColor="text1"/>
          <w:kern w:val="3"/>
          <w:sz w:val="28"/>
          <w:szCs w:val="28"/>
        </w:rPr>
      </w:pPr>
      <w:bookmarkStart w:id="719" w:name="_Toc191729997"/>
      <w:bookmarkStart w:id="720" w:name="_Toc191729701"/>
      <w:bookmarkStart w:id="721" w:name="_Toc191728141"/>
      <w:bookmarkStart w:id="722" w:name="_Toc217444189"/>
      <w:bookmarkStart w:id="723" w:name="_Toc15329"/>
      <w:bookmarkStart w:id="724" w:name="_Toc194389905"/>
      <w:bookmarkStart w:id="725" w:name="_Toc18645"/>
      <w:bookmarkStart w:id="726" w:name="_Toc11769"/>
      <w:bookmarkStart w:id="727" w:name="_Toc7881"/>
      <w:bookmarkStart w:id="728" w:name="_Toc14218"/>
      <w:bookmarkStart w:id="729" w:name="_Toc18652"/>
      <w:bookmarkStart w:id="730" w:name="_Toc11635"/>
      <w:bookmarkStart w:id="731" w:name="_Toc11239"/>
      <w:bookmarkStart w:id="732" w:name="_Toc1947"/>
      <w:bookmarkStart w:id="733" w:name="_Toc1840"/>
      <w:bookmarkStart w:id="734" w:name="_Toc7389"/>
      <w:bookmarkStart w:id="735" w:name="_Toc191728144"/>
      <w:bookmarkStart w:id="736" w:name="_Toc191729704"/>
      <w:bookmarkStart w:id="737" w:name="_Toc191730000"/>
      <w:r>
        <w:rPr>
          <w:rFonts w:hint="eastAsia" w:ascii="黑体" w:hAnsi="宋体" w:eastAsia="黑体"/>
          <w:color w:val="000000" w:themeColor="text1"/>
          <w:kern w:val="3"/>
          <w:sz w:val="28"/>
          <w:szCs w:val="28"/>
        </w:rPr>
        <w:t>2.9.4安全</w:t>
      </w:r>
      <w:bookmarkEnd w:id="719"/>
      <w:bookmarkEnd w:id="720"/>
      <w:bookmarkEnd w:id="721"/>
      <w:bookmarkEnd w:id="722"/>
      <w:bookmarkEnd w:id="723"/>
      <w:bookmarkEnd w:id="724"/>
      <w:r>
        <w:rPr>
          <w:rFonts w:hint="eastAsia" w:ascii="黑体" w:hAnsi="宋体" w:eastAsia="黑体"/>
          <w:color w:val="000000" w:themeColor="text1"/>
          <w:kern w:val="3"/>
          <w:sz w:val="28"/>
          <w:szCs w:val="28"/>
        </w:rPr>
        <w:t>管理规章制度</w:t>
      </w:r>
      <w:bookmarkEnd w:id="725"/>
      <w:bookmarkEnd w:id="726"/>
      <w:bookmarkEnd w:id="727"/>
      <w:bookmarkEnd w:id="728"/>
      <w:bookmarkEnd w:id="729"/>
      <w:bookmarkEnd w:id="730"/>
      <w:bookmarkEnd w:id="731"/>
      <w:bookmarkEnd w:id="732"/>
      <w:bookmarkEnd w:id="733"/>
      <w:bookmarkEnd w:id="734"/>
    </w:p>
    <w:p>
      <w:pPr>
        <w:ind w:firstLine="560" w:firstLineChars="200"/>
        <w:rPr>
          <w:rFonts w:hint="eastAsia" w:ascii="宋体" w:hAnsi="宋体"/>
          <w:color w:val="000000"/>
          <w:sz w:val="28"/>
          <w:szCs w:val="28"/>
          <w:lang w:eastAsia="zh-CN"/>
        </w:rPr>
      </w:pPr>
      <w:r>
        <w:rPr>
          <w:rFonts w:hint="eastAsia" w:ascii="宋体" w:hAnsi="宋体"/>
          <w:color w:val="000000"/>
          <w:sz w:val="28"/>
          <w:szCs w:val="28"/>
        </w:rPr>
        <w:t>为保障企业的安全生产，贯彻“安全第一、预防为主、综合治理”的方针，根据《安全生产法》的规定，结合自身实际情况，设立了以</w:t>
      </w:r>
      <w:r>
        <w:rPr>
          <w:rFonts w:hint="eastAsia" w:ascii="宋体" w:hAnsi="宋体"/>
          <w:color w:val="000000"/>
          <w:sz w:val="28"/>
          <w:szCs w:val="28"/>
          <w:lang w:val="en-US" w:eastAsia="zh-CN"/>
        </w:rPr>
        <w:t>公司法人</w:t>
      </w:r>
      <w:r>
        <w:rPr>
          <w:rFonts w:hint="eastAsia" w:ascii="宋体" w:hAnsi="宋体"/>
          <w:color w:val="000000"/>
          <w:sz w:val="28"/>
          <w:szCs w:val="28"/>
        </w:rPr>
        <w:t>及安全员组成的安全生产领导小组，并任命了专职安全员。同时，依据</w:t>
      </w:r>
      <w:r>
        <w:rPr>
          <w:rFonts w:hint="eastAsia" w:ascii="宋体" w:hAnsi="宋体"/>
          <w:color w:val="000000"/>
          <w:sz w:val="28"/>
          <w:szCs w:val="28"/>
          <w:lang w:val="en-US" w:eastAsia="zh-CN"/>
        </w:rPr>
        <w:t>公司的实际经营情况</w:t>
      </w:r>
      <w:r>
        <w:rPr>
          <w:rFonts w:hint="eastAsia" w:ascii="宋体" w:hAnsi="宋体"/>
          <w:color w:val="000000"/>
          <w:sz w:val="28"/>
          <w:szCs w:val="28"/>
        </w:rPr>
        <w:t>制定</w:t>
      </w:r>
      <w:r>
        <w:rPr>
          <w:rFonts w:hint="eastAsia" w:ascii="宋体" w:hAnsi="宋体"/>
          <w:color w:val="000000"/>
          <w:sz w:val="28"/>
          <w:szCs w:val="28"/>
          <w:lang w:eastAsia="zh-CN"/>
        </w:rPr>
        <w:t>了</w:t>
      </w:r>
      <w:r>
        <w:rPr>
          <w:rFonts w:hint="eastAsia" w:ascii="宋体" w:hAnsi="宋体"/>
          <w:color w:val="000000"/>
          <w:sz w:val="28"/>
          <w:szCs w:val="28"/>
        </w:rPr>
        <w:t>安全生产管理制度、操作规程等，</w:t>
      </w:r>
      <w:r>
        <w:rPr>
          <w:rFonts w:hint="eastAsia" w:ascii="宋体" w:hAnsi="宋体"/>
          <w:color w:val="000000"/>
          <w:sz w:val="28"/>
          <w:szCs w:val="28"/>
          <w:lang w:val="en-US" w:eastAsia="zh-CN"/>
        </w:rPr>
        <w:t>公司</w:t>
      </w:r>
      <w:r>
        <w:rPr>
          <w:rFonts w:hint="eastAsia" w:ascii="宋体" w:hAnsi="宋体"/>
          <w:color w:val="000000"/>
          <w:sz w:val="28"/>
          <w:szCs w:val="28"/>
        </w:rPr>
        <w:t>在生产过程中严格执行规章制度，保障生产安全</w:t>
      </w:r>
      <w:r>
        <w:rPr>
          <w:rFonts w:hint="eastAsia" w:ascii="宋体" w:hAnsi="宋体"/>
          <w:color w:val="000000"/>
          <w:sz w:val="28"/>
          <w:szCs w:val="28"/>
          <w:lang w:eastAsia="zh-CN"/>
        </w:rPr>
        <w:t>。</w:t>
      </w:r>
    </w:p>
    <w:p>
      <w:pPr>
        <w:spacing w:line="500" w:lineRule="exact"/>
        <w:rPr>
          <w:rFonts w:ascii="宋体" w:hAnsi="宋体"/>
          <w:b/>
          <w:color w:val="000000"/>
          <w:sz w:val="28"/>
        </w:rPr>
      </w:pPr>
      <w:r>
        <w:rPr>
          <w:rFonts w:hint="eastAsia" w:ascii="宋体" w:hAnsi="宋体"/>
          <w:b/>
          <w:color w:val="000000"/>
          <w:sz w:val="28"/>
        </w:rPr>
        <w:t>1.</w:t>
      </w:r>
      <w:r>
        <w:rPr>
          <w:rFonts w:ascii="宋体" w:hAnsi="宋体"/>
          <w:b/>
          <w:color w:val="000000"/>
          <w:sz w:val="28"/>
        </w:rPr>
        <w:t>安全管理网络图</w:t>
      </w:r>
    </w:p>
    <w:p>
      <w:pPr>
        <w:ind w:firstLine="420" w:firstLineChars="200"/>
        <w:rPr>
          <w:rFonts w:hint="eastAsia" w:ascii="宋体" w:hAnsi="宋体"/>
          <w:color w:val="000000"/>
        </w:rPr>
      </w:pPr>
    </w:p>
    <w:p>
      <w:pPr>
        <w:ind w:firstLine="420" w:firstLineChars="200"/>
        <w:rPr>
          <w:rFonts w:hint="eastAsia" w:ascii="宋体" w:hAnsi="宋体"/>
          <w:color w:val="000000"/>
        </w:rPr>
      </w:pPr>
      <w:r>
        <w:rPr>
          <w:rFonts w:hint="eastAsia" w:ascii="宋体" w:hAnsi="宋体"/>
          <w:color w:val="000000"/>
        </w:rPr>
        <w:pict>
          <v:rect id="_x0000_s2058" o:spid="_x0000_s2058" o:spt="1" style="position:absolute;left:0pt;margin-left:135pt;margin-top:0.75pt;height:22.65pt;width:162pt;z-index:251666432;mso-width-relative:page;mso-height-relative:page;" coordsize="21600,21600">
            <v:path/>
            <v:fill focussize="0,0"/>
            <v:stroke/>
            <v:imagedata o:title=""/>
            <o:lock v:ext="edit"/>
            <v:textbox>
              <w:txbxContent>
                <w:p>
                  <w:pPr>
                    <w:pStyle w:val="120"/>
                    <w:keepNext w:val="0"/>
                    <w:widowControl w:val="0"/>
                    <w:overflowPunct/>
                    <w:adjustRightInd/>
                    <w:snapToGrid/>
                    <w:spacing w:before="0" w:after="0" w:line="240" w:lineRule="auto"/>
                    <w:textAlignment w:val="auto"/>
                    <w:rPr>
                      <w:rFonts w:hint="default" w:ascii="宋体" w:hAnsi="宋体" w:eastAsia="宋体"/>
                      <w:kern w:val="2"/>
                      <w:szCs w:val="24"/>
                      <w:lang w:val="en-US" w:eastAsia="zh-CN"/>
                    </w:rPr>
                  </w:pPr>
                  <w:r>
                    <w:rPr>
                      <w:rFonts w:hint="eastAsia" w:ascii="宋体" w:hAnsi="宋体" w:eastAsia="宋体"/>
                      <w:kern w:val="2"/>
                      <w:szCs w:val="24"/>
                      <w:lang w:val="en-US" w:eastAsia="zh-CN"/>
                    </w:rPr>
                    <w:t>负责人：杨明书</w:t>
                  </w:r>
                </w:p>
              </w:txbxContent>
            </v:textbox>
          </v:rect>
        </w:pict>
      </w:r>
    </w:p>
    <w:p>
      <w:pPr>
        <w:ind w:firstLine="420" w:firstLineChars="200"/>
        <w:rPr>
          <w:rFonts w:hint="eastAsia" w:ascii="宋体" w:hAnsi="宋体"/>
          <w:color w:val="000000"/>
        </w:rPr>
      </w:pPr>
      <w:r>
        <w:rPr>
          <w:rFonts w:hint="eastAsia" w:ascii="宋体" w:hAnsi="宋体"/>
          <w:color w:val="000000"/>
        </w:rPr>
        <w:pict>
          <v:line id="_x0000_s2059" o:spid="_x0000_s2059" o:spt="20" style="position:absolute;left:0pt;margin-left:216pt;margin-top:7.8pt;height:23.4pt;width:0pt;z-index:251668480;mso-width-relative:page;mso-height-relative:page;" filled="f" coordsize="21600,21600">
            <v:path arrowok="t"/>
            <v:fill on="f" focussize="0,0"/>
            <v:stroke endarrow="block"/>
            <v:imagedata o:title=""/>
            <o:lock v:ext="edit"/>
          </v:line>
        </w:pict>
      </w:r>
    </w:p>
    <w:p>
      <w:pPr>
        <w:ind w:firstLine="420" w:firstLineChars="200"/>
        <w:rPr>
          <w:rFonts w:hint="eastAsia" w:ascii="宋体" w:hAnsi="宋体"/>
          <w:color w:val="000000"/>
        </w:rPr>
      </w:pPr>
    </w:p>
    <w:p>
      <w:pPr>
        <w:ind w:firstLine="420" w:firstLineChars="200"/>
        <w:rPr>
          <w:rFonts w:hint="eastAsia" w:ascii="宋体" w:hAnsi="宋体"/>
          <w:color w:val="000000"/>
        </w:rPr>
      </w:pPr>
      <w:r>
        <w:rPr>
          <w:rFonts w:hint="eastAsia" w:ascii="宋体" w:hAnsi="宋体"/>
          <w:color w:val="000000"/>
        </w:rPr>
        <w:pict>
          <v:rect id="_x0000_s2060" o:spid="_x0000_s2060" o:spt="1" style="position:absolute;left:0pt;margin-left:138.55pt;margin-top:0.75pt;height:22.65pt;width:157.75pt;z-index:251667456;mso-width-relative:page;mso-height-relative:page;" fillcolor="#FFFFFF" filled="t" stroked="t" coordsize="21600,21600">
            <v:path/>
            <v:fill on="t" color2="#FFFFFF" focussize="0,0"/>
            <v:stroke joinstyle="miter"/>
            <v:imagedata o:title=""/>
            <o:lock v:ext="edit" aspectratio="f"/>
            <v:textbox>
              <w:txbxContent>
                <w:p>
                  <w:pPr>
                    <w:pStyle w:val="120"/>
                    <w:keepNext w:val="0"/>
                    <w:widowControl w:val="0"/>
                    <w:overflowPunct/>
                    <w:adjustRightInd/>
                    <w:snapToGrid/>
                    <w:spacing w:before="0" w:after="0" w:line="240" w:lineRule="auto"/>
                    <w:textAlignment w:val="auto"/>
                    <w:rPr>
                      <w:rFonts w:hint="default" w:ascii="宋体" w:hAnsi="宋体" w:eastAsia="宋体"/>
                      <w:kern w:val="2"/>
                      <w:szCs w:val="24"/>
                      <w:lang w:val="en-US" w:eastAsia="zh-CN"/>
                    </w:rPr>
                  </w:pPr>
                  <w:r>
                    <w:rPr>
                      <w:rFonts w:hint="eastAsia" w:ascii="宋体" w:hAnsi="宋体" w:eastAsia="宋体"/>
                      <w:kern w:val="2"/>
                      <w:szCs w:val="24"/>
                      <w:lang w:val="en-US" w:eastAsia="zh-CN"/>
                    </w:rPr>
                    <w:t>安全员：马向琼</w:t>
                  </w:r>
                </w:p>
              </w:txbxContent>
            </v:textbox>
          </v:rect>
        </w:pict>
      </w:r>
    </w:p>
    <w:p>
      <w:pPr>
        <w:ind w:firstLine="420" w:firstLineChars="200"/>
        <w:rPr>
          <w:rFonts w:hint="eastAsia" w:ascii="宋体" w:hAnsi="宋体"/>
          <w:color w:val="000000"/>
        </w:rPr>
      </w:pPr>
      <w:r>
        <w:rPr>
          <w:rFonts w:hint="eastAsia" w:ascii="宋体" w:hAnsi="宋体"/>
          <w:color w:val="000000"/>
        </w:rPr>
        <w:pict>
          <v:line id="_x0000_s2061" o:spid="_x0000_s2061" o:spt="20" style="position:absolute;left:0pt;margin-left:216pt;margin-top:7.8pt;height:23.4pt;width:0pt;z-index:251670528;mso-width-relative:page;mso-height-relative:page;" filled="f" coordsize="21600,21600">
            <v:path arrowok="t"/>
            <v:fill on="f" focussize="0,0"/>
            <v:stroke endarrow="block"/>
            <v:imagedata o:title=""/>
            <o:lock v:ext="edit"/>
          </v:line>
        </w:pict>
      </w:r>
    </w:p>
    <w:p>
      <w:pPr>
        <w:ind w:firstLine="420" w:firstLineChars="200"/>
        <w:rPr>
          <w:rFonts w:hint="eastAsia" w:ascii="宋体" w:hAnsi="宋体"/>
          <w:color w:val="000000"/>
        </w:rPr>
      </w:pPr>
    </w:p>
    <w:p>
      <w:pPr>
        <w:rPr>
          <w:rFonts w:hint="eastAsia" w:ascii="宋体" w:hAnsi="宋体"/>
          <w:color w:val="000000"/>
        </w:rPr>
      </w:pPr>
      <w:r>
        <w:rPr>
          <w:rFonts w:hint="eastAsia" w:ascii="宋体" w:hAnsi="宋体"/>
          <w:color w:val="000000"/>
        </w:rPr>
        <w:pict>
          <v:rect id="_x0000_s2062" o:spid="_x0000_s2062" o:spt="1" style="position:absolute;left:0pt;margin-left:135pt;margin-top:3pt;height:22.65pt;width:162pt;z-index:251669504;mso-width-relative:page;mso-height-relative:page;" coordsize="21600,21600">
            <v:path/>
            <v:fill focussize="0,0"/>
            <v:stroke/>
            <v:imagedata o:title=""/>
            <o:lock v:ext="edit"/>
            <v:textbox>
              <w:txbxContent>
                <w:p>
                  <w:pPr>
                    <w:pStyle w:val="120"/>
                    <w:keepNext w:val="0"/>
                    <w:widowControl w:val="0"/>
                    <w:overflowPunct/>
                    <w:adjustRightInd/>
                    <w:snapToGrid/>
                    <w:spacing w:before="0" w:after="0" w:line="240" w:lineRule="auto"/>
                    <w:textAlignment w:val="auto"/>
                    <w:rPr>
                      <w:rFonts w:ascii="宋体" w:hAnsi="宋体" w:eastAsia="宋体"/>
                      <w:kern w:val="2"/>
                      <w:szCs w:val="24"/>
                      <w:lang w:val="en-US" w:eastAsia="zh-CN"/>
                    </w:rPr>
                  </w:pPr>
                  <w:r>
                    <w:rPr>
                      <w:rFonts w:hint="eastAsia" w:ascii="宋体" w:hAnsi="宋体" w:eastAsia="宋体"/>
                      <w:kern w:val="2"/>
                      <w:szCs w:val="24"/>
                      <w:lang w:val="en-US" w:eastAsia="zh-CN"/>
                    </w:rPr>
                    <w:t>全体工作人员</w:t>
                  </w:r>
                </w:p>
              </w:txbxContent>
            </v:textbox>
          </v:rect>
        </w:pict>
      </w:r>
    </w:p>
    <w:p>
      <w:pPr>
        <w:rPr>
          <w:rFonts w:hint="eastAsia" w:ascii="宋体" w:hAnsi="宋体"/>
          <w:color w:val="000000"/>
        </w:rPr>
      </w:pPr>
    </w:p>
    <w:p>
      <w:pPr>
        <w:spacing w:line="500" w:lineRule="exact"/>
        <w:rPr>
          <w:rFonts w:hint="eastAsia" w:ascii="宋体" w:hAnsi="宋体"/>
          <w:b/>
          <w:color w:val="000000"/>
          <w:sz w:val="28"/>
        </w:rPr>
      </w:pPr>
      <w:r>
        <w:rPr>
          <w:rFonts w:hint="eastAsia" w:ascii="宋体" w:hAnsi="宋体"/>
          <w:b/>
          <w:color w:val="000000"/>
          <w:sz w:val="28"/>
        </w:rPr>
        <w:t>2.</w:t>
      </w:r>
      <w:r>
        <w:rPr>
          <w:rFonts w:ascii="宋体" w:hAnsi="宋体"/>
          <w:b/>
          <w:color w:val="000000"/>
          <w:sz w:val="28"/>
        </w:rPr>
        <w:t xml:space="preserve"> 安全管理职责分工</w:t>
      </w:r>
    </w:p>
    <w:p>
      <w:pPr>
        <w:spacing w:line="500" w:lineRule="exact"/>
        <w:ind w:firstLine="537" w:firstLineChars="192"/>
        <w:rPr>
          <w:rFonts w:hint="eastAsia" w:ascii="宋体" w:hAnsi="宋体"/>
          <w:color w:val="000000"/>
          <w:sz w:val="28"/>
          <w:szCs w:val="28"/>
          <w:lang w:eastAsia="zh-CN"/>
        </w:rPr>
      </w:pP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lang w:eastAsia="zh-CN"/>
        </w:rPr>
        <w:t>昭通市耀晨甲醇醇油有限公司</w:t>
      </w:r>
      <w:r>
        <w:rPr>
          <w:rFonts w:hint="eastAsia" w:ascii="宋体" w:hAnsi="宋体"/>
          <w:color w:val="000000"/>
          <w:sz w:val="28"/>
          <w:szCs w:val="28"/>
          <w:lang w:val="en-US" w:eastAsia="zh-CN"/>
        </w:rPr>
        <w:t>负责人</w:t>
      </w:r>
      <w:r>
        <w:rPr>
          <w:rFonts w:hint="eastAsia" w:ascii="宋体" w:hAnsi="宋体"/>
          <w:color w:val="000000"/>
          <w:sz w:val="28"/>
          <w:szCs w:val="28"/>
          <w:lang w:eastAsia="zh-CN"/>
        </w:rPr>
        <w:t>：负责昭通市耀晨甲醇醇油有限公司的全面安全工作。</w:t>
      </w:r>
    </w:p>
    <w:p>
      <w:pPr>
        <w:spacing w:line="500" w:lineRule="exact"/>
        <w:ind w:firstLine="537" w:firstLineChars="192"/>
        <w:rPr>
          <w:rFonts w:ascii="宋体" w:hAnsi="宋体"/>
          <w:color w:val="000000"/>
          <w:sz w:val="28"/>
          <w:szCs w:val="28"/>
        </w:rPr>
      </w:pPr>
      <w:r>
        <w:rPr>
          <w:rFonts w:hint="eastAsia" w:ascii="宋体" w:hAnsi="宋体"/>
          <w:color w:val="000000"/>
          <w:sz w:val="28"/>
          <w:szCs w:val="28"/>
        </w:rPr>
        <w:t>（2）</w:t>
      </w:r>
      <w:r>
        <w:rPr>
          <w:rFonts w:hint="eastAsia" w:ascii="宋体" w:hAnsi="宋体"/>
          <w:color w:val="000000"/>
          <w:sz w:val="28"/>
          <w:szCs w:val="28"/>
          <w:lang w:eastAsia="zh-CN"/>
        </w:rPr>
        <w:t>昭通市耀晨甲醇醇油有限公司</w:t>
      </w:r>
      <w:r>
        <w:rPr>
          <w:rFonts w:ascii="宋体" w:hAnsi="宋体"/>
          <w:color w:val="000000"/>
          <w:sz w:val="28"/>
          <w:szCs w:val="28"/>
        </w:rPr>
        <w:t>安全员：负责抓好</w:t>
      </w:r>
      <w:r>
        <w:rPr>
          <w:rFonts w:hint="eastAsia" w:ascii="宋体" w:hAnsi="宋体"/>
          <w:color w:val="000000"/>
          <w:sz w:val="28"/>
          <w:szCs w:val="28"/>
          <w:lang w:val="en-US" w:eastAsia="zh-CN"/>
        </w:rPr>
        <w:t>公司</w:t>
      </w:r>
      <w:r>
        <w:rPr>
          <w:rFonts w:ascii="宋体" w:hAnsi="宋体"/>
          <w:color w:val="000000"/>
          <w:sz w:val="28"/>
          <w:szCs w:val="28"/>
        </w:rPr>
        <w:t>各岗位人员的教育、组织、培训</w:t>
      </w:r>
      <w:r>
        <w:rPr>
          <w:rFonts w:hint="eastAsia" w:ascii="宋体" w:hAnsi="宋体"/>
          <w:color w:val="000000"/>
          <w:sz w:val="28"/>
          <w:szCs w:val="28"/>
        </w:rPr>
        <w:t>及协助</w:t>
      </w:r>
      <w:r>
        <w:rPr>
          <w:rFonts w:hint="eastAsia" w:ascii="宋体" w:hAnsi="宋体"/>
          <w:color w:val="000000"/>
          <w:sz w:val="28"/>
          <w:szCs w:val="28"/>
          <w:lang w:val="en-US" w:eastAsia="zh-CN"/>
        </w:rPr>
        <w:t>负责人</w:t>
      </w:r>
      <w:r>
        <w:rPr>
          <w:rFonts w:hint="eastAsia" w:ascii="宋体" w:hAnsi="宋体"/>
          <w:color w:val="000000"/>
          <w:sz w:val="28"/>
          <w:szCs w:val="28"/>
        </w:rPr>
        <w:t>安全管理工作。</w:t>
      </w:r>
    </w:p>
    <w:p>
      <w:pPr>
        <w:spacing w:line="500" w:lineRule="exact"/>
        <w:ind w:firstLine="537" w:firstLineChars="192"/>
        <w:rPr>
          <w:rFonts w:ascii="宋体" w:hAnsi="宋体"/>
          <w:color w:val="000000"/>
          <w:sz w:val="28"/>
          <w:szCs w:val="28"/>
        </w:rPr>
      </w:pPr>
      <w:r>
        <w:rPr>
          <w:rFonts w:hint="eastAsia" w:ascii="宋体" w:hAnsi="宋体"/>
          <w:color w:val="000000"/>
          <w:sz w:val="28"/>
          <w:szCs w:val="28"/>
        </w:rPr>
        <w:t>（3）</w:t>
      </w:r>
      <w:r>
        <w:rPr>
          <w:rFonts w:hint="eastAsia" w:ascii="宋体" w:hAnsi="宋体"/>
          <w:color w:val="000000"/>
          <w:sz w:val="28"/>
          <w:szCs w:val="28"/>
          <w:lang w:eastAsia="zh-CN"/>
        </w:rPr>
        <w:t>昭通市耀晨甲醇醇油有限公司</w:t>
      </w:r>
      <w:r>
        <w:rPr>
          <w:rFonts w:ascii="宋体" w:hAnsi="宋体"/>
          <w:color w:val="000000"/>
          <w:sz w:val="28"/>
          <w:szCs w:val="28"/>
        </w:rPr>
        <w:t>具体操作人员</w:t>
      </w:r>
      <w:r>
        <w:rPr>
          <w:rFonts w:hint="eastAsia" w:ascii="宋体" w:hAnsi="宋体"/>
          <w:color w:val="000000"/>
          <w:sz w:val="28"/>
          <w:szCs w:val="28"/>
        </w:rPr>
        <w:t>：</w:t>
      </w:r>
      <w:r>
        <w:rPr>
          <w:rFonts w:ascii="宋体" w:hAnsi="宋体"/>
          <w:color w:val="000000"/>
          <w:sz w:val="28"/>
          <w:szCs w:val="28"/>
        </w:rPr>
        <w:t>负责日常</w:t>
      </w:r>
      <w:r>
        <w:rPr>
          <w:rFonts w:hint="eastAsia" w:ascii="宋体" w:hAnsi="宋体"/>
          <w:color w:val="000000"/>
          <w:sz w:val="28"/>
          <w:szCs w:val="28"/>
          <w:lang w:val="en-US" w:eastAsia="zh-CN"/>
        </w:rPr>
        <w:t>本职</w:t>
      </w:r>
      <w:r>
        <w:rPr>
          <w:rFonts w:ascii="宋体" w:hAnsi="宋体"/>
          <w:color w:val="000000"/>
          <w:sz w:val="28"/>
          <w:szCs w:val="28"/>
        </w:rPr>
        <w:t>工作。</w:t>
      </w:r>
    </w:p>
    <w:p>
      <w:pPr>
        <w:spacing w:line="500" w:lineRule="exact"/>
        <w:rPr>
          <w:rFonts w:hint="eastAsia" w:ascii="宋体" w:hAnsi="宋体"/>
          <w:b/>
          <w:color w:val="000000"/>
          <w:sz w:val="28"/>
        </w:rPr>
      </w:pPr>
      <w:bookmarkStart w:id="738" w:name="_Toc424306004"/>
      <w:bookmarkStart w:id="739" w:name="_Toc420403873"/>
      <w:bookmarkStart w:id="740" w:name="_Toc489629024"/>
      <w:bookmarkStart w:id="741" w:name="_Toc438040909"/>
      <w:bookmarkStart w:id="742" w:name="_Toc424306255"/>
      <w:bookmarkStart w:id="743" w:name="_Toc433992356"/>
      <w:r>
        <w:rPr>
          <w:rFonts w:hint="eastAsia" w:ascii="宋体" w:hAnsi="宋体"/>
          <w:b/>
          <w:color w:val="000000"/>
          <w:sz w:val="28"/>
        </w:rPr>
        <w:t>3.安全管理制度、职责及操作规程</w:t>
      </w:r>
      <w:bookmarkEnd w:id="738"/>
      <w:bookmarkEnd w:id="739"/>
      <w:bookmarkEnd w:id="740"/>
      <w:bookmarkEnd w:id="741"/>
      <w:bookmarkEnd w:id="742"/>
      <w:bookmarkEnd w:id="743"/>
    </w:p>
    <w:p>
      <w:pPr>
        <w:pStyle w:val="2"/>
        <w:ind w:firstLine="560" w:firstLineChars="200"/>
        <w:rPr>
          <w:rFonts w:hint="eastAsia"/>
          <w:lang w:eastAsia="zh-CN"/>
        </w:rPr>
      </w:pPr>
      <w:r>
        <w:rPr>
          <w:rFonts w:hint="eastAsia" w:ascii="宋体" w:hAnsi="宋体"/>
          <w:color w:val="000000"/>
          <w:sz w:val="28"/>
        </w:rPr>
        <w:t>根据有关法律法规要求</w:t>
      </w:r>
      <w:r>
        <w:rPr>
          <w:rFonts w:hint="eastAsia"/>
          <w:color w:val="000000"/>
          <w:sz w:val="28"/>
          <w:szCs w:val="28"/>
          <w:lang w:eastAsia="zh-CN"/>
        </w:rPr>
        <w:t>昭通市耀晨甲醇醇油有限公司</w:t>
      </w:r>
      <w:r>
        <w:rPr>
          <w:rFonts w:hint="eastAsia" w:ascii="宋体" w:hAnsi="宋体"/>
          <w:color w:val="000000"/>
          <w:sz w:val="28"/>
          <w:szCs w:val="28"/>
        </w:rPr>
        <w:t>制定了相应的职责、安全生产管理制度、操作规程等。（见附件）</w:t>
      </w:r>
    </w:p>
    <w:p>
      <w:pPr>
        <w:pStyle w:val="19"/>
        <w:spacing w:afterLines="100" w:line="500" w:lineRule="exact"/>
        <w:rPr>
          <w:rFonts w:ascii="黑体" w:hAnsi="宋体" w:eastAsia="黑体"/>
          <w:color w:val="000000" w:themeColor="text1"/>
          <w:kern w:val="3"/>
          <w:sz w:val="28"/>
          <w:szCs w:val="28"/>
        </w:rPr>
      </w:pPr>
      <w:bookmarkStart w:id="744" w:name="_Toc217444193"/>
      <w:bookmarkStart w:id="745" w:name="_Toc15971"/>
      <w:bookmarkStart w:id="746" w:name="_Toc194389908"/>
      <w:bookmarkStart w:id="747" w:name="_Toc16141"/>
      <w:bookmarkStart w:id="748" w:name="_Toc7639"/>
      <w:bookmarkStart w:id="749" w:name="_Toc31138"/>
      <w:bookmarkStart w:id="750" w:name="_Toc10364"/>
      <w:bookmarkStart w:id="751" w:name="_Toc26557"/>
      <w:bookmarkStart w:id="752" w:name="_Toc2622"/>
      <w:bookmarkStart w:id="753" w:name="_Toc12901"/>
      <w:bookmarkStart w:id="754" w:name="_Toc13989"/>
      <w:bookmarkStart w:id="755" w:name="_Toc1138"/>
      <w:bookmarkStart w:id="756" w:name="_Toc20360"/>
      <w:r>
        <w:rPr>
          <w:rFonts w:hint="eastAsia" w:ascii="黑体" w:hAnsi="宋体" w:eastAsia="黑体"/>
          <w:color w:val="000000" w:themeColor="text1"/>
          <w:kern w:val="3"/>
          <w:sz w:val="28"/>
          <w:szCs w:val="28"/>
        </w:rPr>
        <w:t>2.9.</w:t>
      </w:r>
      <w:r>
        <w:rPr>
          <w:rFonts w:hint="eastAsia" w:ascii="黑体" w:hAnsi="宋体" w:eastAsia="黑体"/>
          <w:color w:val="000000" w:themeColor="text1"/>
          <w:kern w:val="3"/>
          <w:sz w:val="28"/>
          <w:szCs w:val="28"/>
          <w:lang w:val="en-US" w:eastAsia="zh-CN"/>
        </w:rPr>
        <w:t>5</w:t>
      </w:r>
      <w:r>
        <w:rPr>
          <w:rFonts w:hint="eastAsia" w:ascii="黑体" w:hAnsi="宋体" w:eastAsia="黑体"/>
          <w:color w:val="000000" w:themeColor="text1"/>
          <w:kern w:val="3"/>
          <w:sz w:val="28"/>
          <w:szCs w:val="28"/>
        </w:rPr>
        <w:t>安全事故应急</w:t>
      </w:r>
      <w:bookmarkEnd w:id="735"/>
      <w:bookmarkEnd w:id="736"/>
      <w:bookmarkEnd w:id="737"/>
      <w:bookmarkEnd w:id="744"/>
      <w:bookmarkEnd w:id="745"/>
      <w:bookmarkEnd w:id="746"/>
      <w:r>
        <w:rPr>
          <w:rFonts w:hint="eastAsia" w:ascii="黑体" w:hAnsi="宋体" w:eastAsia="黑体"/>
          <w:color w:val="000000" w:themeColor="text1"/>
          <w:kern w:val="3"/>
          <w:sz w:val="28"/>
          <w:szCs w:val="28"/>
        </w:rPr>
        <w:t>管理</w:t>
      </w:r>
      <w:bookmarkEnd w:id="747"/>
      <w:bookmarkEnd w:id="748"/>
      <w:bookmarkEnd w:id="749"/>
      <w:bookmarkEnd w:id="750"/>
      <w:bookmarkEnd w:id="751"/>
      <w:bookmarkEnd w:id="752"/>
      <w:bookmarkEnd w:id="753"/>
      <w:bookmarkEnd w:id="754"/>
      <w:bookmarkEnd w:id="755"/>
      <w:bookmarkEnd w:id="756"/>
    </w:p>
    <w:bookmarkEnd w:id="680"/>
    <w:bookmarkEnd w:id="681"/>
    <w:bookmarkEnd w:id="682"/>
    <w:p>
      <w:pPr>
        <w:spacing w:line="500" w:lineRule="exact"/>
        <w:ind w:right="-145" w:rightChars="-69" w:firstLine="562" w:firstLineChars="200"/>
        <w:rPr>
          <w:b/>
          <w:snapToGrid w:val="0"/>
          <w:color w:val="000000" w:themeColor="text1"/>
          <w:kern w:val="0"/>
          <w:sz w:val="28"/>
          <w:szCs w:val="28"/>
        </w:rPr>
      </w:pPr>
      <w:bookmarkStart w:id="757" w:name="_Toc18144"/>
      <w:bookmarkStart w:id="758" w:name="_Toc191730001"/>
      <w:bookmarkStart w:id="759" w:name="_Toc191729705"/>
      <w:bookmarkStart w:id="760" w:name="_Toc191728145"/>
      <w:bookmarkStart w:id="761" w:name="_Toc194389909"/>
      <w:r>
        <w:rPr>
          <w:b/>
          <w:snapToGrid w:val="0"/>
          <w:color w:val="000000" w:themeColor="text1"/>
          <w:kern w:val="0"/>
          <w:sz w:val="28"/>
          <w:szCs w:val="28"/>
        </w:rPr>
        <w:t>1、安全事故应急预案编制、备案情况</w:t>
      </w:r>
      <w:bookmarkEnd w:id="757"/>
    </w:p>
    <w:p>
      <w:pPr>
        <w:spacing w:line="500" w:lineRule="exact"/>
        <w:ind w:right="-145" w:rightChars="-69" w:firstLine="560" w:firstLineChars="200"/>
        <w:rPr>
          <w:color w:val="000000" w:themeColor="text1"/>
        </w:rPr>
      </w:pPr>
      <w:r>
        <w:rPr>
          <w:rFonts w:hint="eastAsia"/>
          <w:snapToGrid w:val="0"/>
          <w:color w:val="000000" w:themeColor="text1"/>
          <w:kern w:val="0"/>
          <w:sz w:val="28"/>
          <w:szCs w:val="28"/>
        </w:rPr>
        <w:t>该公司</w:t>
      </w:r>
      <w:r>
        <w:rPr>
          <w:snapToGrid w:val="0"/>
          <w:color w:val="000000" w:themeColor="text1"/>
          <w:kern w:val="0"/>
          <w:sz w:val="28"/>
          <w:szCs w:val="28"/>
        </w:rPr>
        <w:t>根据甲醇储存情</w:t>
      </w:r>
      <w:r>
        <w:rPr>
          <w:rFonts w:hint="eastAsia"/>
          <w:snapToGrid w:val="0"/>
          <w:color w:val="000000" w:themeColor="text1"/>
          <w:kern w:val="0"/>
          <w:sz w:val="28"/>
          <w:szCs w:val="28"/>
        </w:rPr>
        <w:t>况编制了《昭通市耀晨甲醇醇油有限公司生</w:t>
      </w:r>
      <w:r>
        <w:rPr>
          <w:snapToGrid w:val="0"/>
          <w:color w:val="000000" w:themeColor="text1"/>
          <w:kern w:val="0"/>
          <w:sz w:val="28"/>
          <w:szCs w:val="28"/>
        </w:rPr>
        <w:t>产安全事故应急预案》，</w:t>
      </w:r>
      <w:r>
        <w:rPr>
          <w:snapToGrid w:val="0"/>
          <w:color w:val="0000FF"/>
          <w:kern w:val="0"/>
          <w:sz w:val="28"/>
          <w:szCs w:val="28"/>
        </w:rPr>
        <w:t>在</w:t>
      </w:r>
      <w:r>
        <w:rPr>
          <w:rFonts w:hint="eastAsia"/>
          <w:snapToGrid w:val="0"/>
          <w:color w:val="0000FF"/>
          <w:kern w:val="0"/>
          <w:sz w:val="28"/>
          <w:szCs w:val="28"/>
          <w:lang w:val="en-US" w:eastAsia="zh-CN"/>
        </w:rPr>
        <w:t>2025</w:t>
      </w:r>
      <w:r>
        <w:rPr>
          <w:snapToGrid w:val="0"/>
          <w:color w:val="0000FF"/>
          <w:kern w:val="0"/>
          <w:sz w:val="28"/>
          <w:szCs w:val="28"/>
        </w:rPr>
        <w:t>年</w:t>
      </w:r>
      <w:r>
        <w:rPr>
          <w:rFonts w:hint="eastAsia"/>
          <w:snapToGrid w:val="0"/>
          <w:color w:val="0000FF"/>
          <w:kern w:val="0"/>
          <w:sz w:val="28"/>
          <w:szCs w:val="28"/>
          <w:lang w:val="en-US" w:eastAsia="zh-CN"/>
        </w:rPr>
        <w:t>7</w:t>
      </w:r>
      <w:r>
        <w:rPr>
          <w:snapToGrid w:val="0"/>
          <w:color w:val="0000FF"/>
          <w:kern w:val="0"/>
          <w:sz w:val="28"/>
          <w:szCs w:val="28"/>
        </w:rPr>
        <w:t>月</w:t>
      </w:r>
      <w:r>
        <w:rPr>
          <w:rFonts w:hint="eastAsia"/>
          <w:snapToGrid w:val="0"/>
          <w:color w:val="0000FF"/>
          <w:kern w:val="0"/>
          <w:sz w:val="28"/>
          <w:szCs w:val="28"/>
          <w:lang w:val="en-US" w:eastAsia="zh-CN"/>
        </w:rPr>
        <w:t>21</w:t>
      </w:r>
      <w:r>
        <w:rPr>
          <w:snapToGrid w:val="0"/>
          <w:color w:val="0000FF"/>
          <w:kern w:val="0"/>
          <w:sz w:val="28"/>
          <w:szCs w:val="28"/>
        </w:rPr>
        <w:t>日在</w:t>
      </w:r>
      <w:r>
        <w:rPr>
          <w:rFonts w:hint="eastAsia"/>
          <w:snapToGrid w:val="0"/>
          <w:color w:val="0000FF"/>
          <w:kern w:val="0"/>
          <w:sz w:val="28"/>
          <w:szCs w:val="28"/>
        </w:rPr>
        <w:t>昭阳区应急管理局</w:t>
      </w:r>
      <w:r>
        <w:rPr>
          <w:snapToGrid w:val="0"/>
          <w:color w:val="0000FF"/>
          <w:kern w:val="0"/>
          <w:sz w:val="28"/>
          <w:szCs w:val="28"/>
        </w:rPr>
        <w:t>进行了备案登记</w:t>
      </w:r>
      <w:r>
        <w:rPr>
          <w:rFonts w:hint="eastAsia"/>
          <w:snapToGrid w:val="0"/>
          <w:color w:val="0000FF"/>
          <w:kern w:val="0"/>
          <w:sz w:val="28"/>
          <w:szCs w:val="28"/>
        </w:rPr>
        <w:t>（备案编号530602【</w:t>
      </w:r>
      <w:r>
        <w:rPr>
          <w:rFonts w:hint="eastAsia"/>
          <w:snapToGrid w:val="0"/>
          <w:color w:val="0000FF"/>
          <w:kern w:val="0"/>
          <w:sz w:val="28"/>
          <w:szCs w:val="28"/>
          <w:lang w:val="en-US" w:eastAsia="zh-CN"/>
        </w:rPr>
        <w:t>2025</w:t>
      </w:r>
      <w:r>
        <w:rPr>
          <w:rFonts w:hint="eastAsia"/>
          <w:snapToGrid w:val="0"/>
          <w:color w:val="0000FF"/>
          <w:kern w:val="0"/>
          <w:sz w:val="28"/>
          <w:szCs w:val="28"/>
        </w:rPr>
        <w:t>】</w:t>
      </w:r>
      <w:r>
        <w:rPr>
          <w:rFonts w:hint="eastAsia"/>
          <w:snapToGrid w:val="0"/>
          <w:color w:val="0000FF"/>
          <w:kern w:val="0"/>
          <w:sz w:val="28"/>
          <w:szCs w:val="28"/>
          <w:lang w:val="en-US" w:eastAsia="zh-CN"/>
        </w:rPr>
        <w:t>2023</w:t>
      </w:r>
      <w:r>
        <w:rPr>
          <w:rFonts w:hint="eastAsia"/>
          <w:snapToGrid w:val="0"/>
          <w:color w:val="0000FF"/>
          <w:kern w:val="0"/>
          <w:sz w:val="28"/>
          <w:szCs w:val="28"/>
        </w:rPr>
        <w:t>）</w:t>
      </w:r>
      <w:r>
        <w:rPr>
          <w:snapToGrid w:val="0"/>
          <w:color w:val="000000" w:themeColor="text1"/>
          <w:kern w:val="0"/>
          <w:sz w:val="28"/>
          <w:szCs w:val="28"/>
        </w:rPr>
        <w:t>。</w:t>
      </w:r>
      <w:r>
        <w:rPr>
          <w:rFonts w:hint="eastAsia"/>
          <w:snapToGrid w:val="0"/>
          <w:color w:val="000000" w:themeColor="text1"/>
          <w:kern w:val="0"/>
          <w:sz w:val="28"/>
          <w:szCs w:val="28"/>
        </w:rPr>
        <w:t>该公司</w:t>
      </w:r>
      <w:r>
        <w:rPr>
          <w:snapToGrid w:val="0"/>
          <w:color w:val="000000" w:themeColor="text1"/>
          <w:kern w:val="0"/>
          <w:sz w:val="28"/>
          <w:szCs w:val="28"/>
        </w:rPr>
        <w:t>在</w:t>
      </w:r>
      <w:r>
        <w:rPr>
          <w:rFonts w:hint="eastAsia"/>
          <w:snapToGrid w:val="0"/>
          <w:color w:val="000000" w:themeColor="text1"/>
          <w:kern w:val="0"/>
          <w:sz w:val="28"/>
          <w:szCs w:val="28"/>
        </w:rPr>
        <w:t>经营</w:t>
      </w:r>
      <w:r>
        <w:rPr>
          <w:snapToGrid w:val="0"/>
          <w:color w:val="000000" w:themeColor="text1"/>
          <w:kern w:val="0"/>
          <w:sz w:val="28"/>
          <w:szCs w:val="28"/>
        </w:rPr>
        <w:t>过程中定期进行应急预案演练及记录。</w:t>
      </w:r>
    </w:p>
    <w:p>
      <w:pPr>
        <w:spacing w:line="500" w:lineRule="exact"/>
        <w:ind w:right="-145" w:rightChars="-69" w:firstLine="562" w:firstLineChars="200"/>
        <w:rPr>
          <w:b/>
          <w:snapToGrid w:val="0"/>
          <w:color w:val="000000" w:themeColor="text1"/>
          <w:kern w:val="0"/>
          <w:sz w:val="28"/>
          <w:szCs w:val="28"/>
        </w:rPr>
      </w:pPr>
      <w:bookmarkStart w:id="762" w:name="_Toc460"/>
      <w:r>
        <w:rPr>
          <w:b/>
          <w:snapToGrid w:val="0"/>
          <w:color w:val="000000" w:themeColor="text1"/>
          <w:kern w:val="0"/>
          <w:sz w:val="28"/>
          <w:szCs w:val="28"/>
        </w:rPr>
        <w:t>2、应急物资配备情况</w:t>
      </w:r>
      <w:bookmarkEnd w:id="762"/>
    </w:p>
    <w:p>
      <w:pPr>
        <w:pStyle w:val="51"/>
        <w:ind w:left="420" w:leftChars="200" w:firstLine="0" w:firstLineChars="0"/>
        <w:rPr>
          <w:rFonts w:ascii="Times New Roman" w:hAnsi="Times New Roman"/>
          <w:color w:val="000000" w:themeColor="text1"/>
        </w:rPr>
      </w:pPr>
      <w:r>
        <w:rPr>
          <w:rFonts w:hint="eastAsia" w:ascii="Times New Roman" w:hAnsi="Times New Roman"/>
          <w:color w:val="000000" w:themeColor="text1"/>
        </w:rPr>
        <w:t>现场检查该公司配置了消防器材及应急救援箱</w:t>
      </w:r>
      <w:r>
        <w:rPr>
          <w:rFonts w:ascii="Times New Roman" w:hAnsi="Times New Roman"/>
          <w:color w:val="000000" w:themeColor="text1"/>
        </w:rPr>
        <w:t>。</w:t>
      </w:r>
    </w:p>
    <w:p>
      <w:pPr>
        <w:pStyle w:val="19"/>
        <w:spacing w:after="312" w:afterLines="100" w:line="500" w:lineRule="exact"/>
        <w:rPr>
          <w:rFonts w:hint="eastAsia" w:ascii="黑体" w:hAnsi="宋体"/>
          <w:color w:val="000000"/>
          <w:kern w:val="3"/>
          <w:sz w:val="28"/>
          <w:szCs w:val="28"/>
        </w:rPr>
      </w:pPr>
      <w:bookmarkStart w:id="763" w:name="_Toc8247"/>
      <w:r>
        <w:rPr>
          <w:rFonts w:hint="eastAsia" w:ascii="黑体" w:hAnsi="宋体" w:eastAsia="黑体"/>
          <w:color w:val="000000" w:themeColor="text1"/>
          <w:kern w:val="3"/>
          <w:sz w:val="28"/>
          <w:szCs w:val="28"/>
        </w:rPr>
        <w:t>2.9.</w:t>
      </w:r>
      <w:r>
        <w:rPr>
          <w:rFonts w:hint="eastAsia" w:ascii="黑体" w:hAnsi="宋体" w:eastAsia="黑体"/>
          <w:color w:val="000000" w:themeColor="text1"/>
          <w:kern w:val="3"/>
          <w:sz w:val="28"/>
          <w:szCs w:val="28"/>
          <w:lang w:val="en-US" w:eastAsia="zh-CN"/>
        </w:rPr>
        <w:t>6</w:t>
      </w:r>
      <w:r>
        <w:rPr>
          <w:rFonts w:hint="eastAsia" w:ascii="黑体" w:hAnsi="宋体"/>
          <w:color w:val="000000"/>
          <w:kern w:val="3"/>
          <w:sz w:val="28"/>
          <w:szCs w:val="28"/>
        </w:rPr>
        <w:t>特殊作业情况</w:t>
      </w:r>
      <w:bookmarkEnd w:id="763"/>
    </w:p>
    <w:p>
      <w:pPr>
        <w:pStyle w:val="51"/>
        <w:rPr>
          <w:rFonts w:hint="eastAsia"/>
          <w:color w:val="000000"/>
          <w:sz w:val="28"/>
          <w:szCs w:val="28"/>
          <w:lang w:eastAsia="zh-CN"/>
        </w:rPr>
      </w:pPr>
      <w:r>
        <w:rPr>
          <w:rFonts w:hint="eastAsia" w:ascii="宋体" w:hAnsi="宋体"/>
          <w:color w:val="000000"/>
          <w:sz w:val="28"/>
          <w:szCs w:val="28"/>
        </w:rPr>
        <w:t>根据《危险化学品企业特殊作业安全规范》（</w:t>
      </w:r>
      <w:r>
        <w:rPr>
          <w:rFonts w:ascii="宋体" w:hAnsi="宋体"/>
          <w:color w:val="000000"/>
          <w:sz w:val="28"/>
          <w:szCs w:val="28"/>
        </w:rPr>
        <w:t>GB</w:t>
      </w:r>
      <w:r>
        <w:rPr>
          <w:rFonts w:hint="eastAsia" w:ascii="宋体" w:hAnsi="宋体"/>
          <w:color w:val="000000"/>
          <w:sz w:val="28"/>
          <w:szCs w:val="28"/>
        </w:rPr>
        <w:t>30871-20</w:t>
      </w:r>
      <w:r>
        <w:rPr>
          <w:rFonts w:ascii="宋体" w:hAnsi="宋体"/>
          <w:color w:val="000000"/>
          <w:sz w:val="28"/>
          <w:szCs w:val="28"/>
        </w:rPr>
        <w:t>22</w:t>
      </w:r>
      <w:r>
        <w:rPr>
          <w:rFonts w:hint="eastAsia" w:ascii="宋体" w:hAnsi="宋体"/>
          <w:color w:val="000000"/>
          <w:sz w:val="28"/>
          <w:szCs w:val="28"/>
        </w:rPr>
        <w:t>）</w:t>
      </w:r>
      <w:r>
        <w:rPr>
          <w:rFonts w:hint="eastAsia" w:ascii="宋体" w:hAnsi="宋体"/>
          <w:color w:val="000000"/>
          <w:sz w:val="28"/>
          <w:szCs w:val="28"/>
          <w:lang w:eastAsia="zh-CN"/>
        </w:rPr>
        <w:t>昭通市耀晨甲醇醇油有限公司</w:t>
      </w:r>
      <w:r>
        <w:rPr>
          <w:rFonts w:hint="eastAsia" w:ascii="宋体" w:hAnsi="宋体"/>
          <w:color w:val="000000"/>
          <w:sz w:val="28"/>
          <w:szCs w:val="28"/>
        </w:rPr>
        <w:t>属于易燃易爆场所</w:t>
      </w:r>
      <w:r>
        <w:rPr>
          <w:rFonts w:hint="eastAsia" w:ascii="宋体" w:hAnsi="宋体"/>
          <w:color w:val="000000"/>
          <w:sz w:val="28"/>
          <w:szCs w:val="28"/>
          <w:lang w:eastAsia="zh-CN"/>
        </w:rPr>
        <w:t>昭通市耀晨甲醇醇油有限公司</w:t>
      </w:r>
      <w:r>
        <w:rPr>
          <w:rFonts w:hint="eastAsia" w:ascii="宋体" w:hAnsi="宋体"/>
          <w:color w:val="000000"/>
          <w:sz w:val="28"/>
          <w:szCs w:val="28"/>
        </w:rPr>
        <w:t>所涉及的特殊作业有：动火作业、进入受限空间作业、高处作业、临时用电作业等</w:t>
      </w:r>
      <w:r>
        <w:rPr>
          <w:rFonts w:hint="eastAsia"/>
          <w:color w:val="000000"/>
          <w:sz w:val="28"/>
          <w:szCs w:val="28"/>
          <w:lang w:eastAsia="zh-CN"/>
        </w:rPr>
        <w:t>。</w:t>
      </w:r>
    </w:p>
    <w:p>
      <w:pPr>
        <w:pStyle w:val="19"/>
        <w:spacing w:after="312" w:afterLines="100" w:line="500" w:lineRule="exact"/>
        <w:rPr>
          <w:rFonts w:hint="eastAsia" w:ascii="黑体" w:hAnsi="宋体"/>
          <w:color w:val="000000"/>
          <w:kern w:val="3"/>
          <w:sz w:val="28"/>
          <w:szCs w:val="28"/>
        </w:rPr>
      </w:pPr>
      <w:bookmarkStart w:id="764" w:name="_Toc6841"/>
      <w:r>
        <w:rPr>
          <w:rFonts w:hint="eastAsia" w:ascii="黑体" w:hAnsi="宋体"/>
          <w:color w:val="000000"/>
          <w:kern w:val="3"/>
          <w:sz w:val="28"/>
          <w:szCs w:val="28"/>
          <w:lang w:val="en-US" w:eastAsia="zh-CN"/>
        </w:rPr>
        <w:t>2.9.7</w:t>
      </w:r>
      <w:r>
        <w:rPr>
          <w:rFonts w:ascii="黑体" w:hAnsi="宋体"/>
          <w:color w:val="000000"/>
          <w:kern w:val="3"/>
          <w:sz w:val="28"/>
          <w:szCs w:val="28"/>
        </w:rPr>
        <w:t>从业人员保险及劳动保护</w:t>
      </w:r>
      <w:bookmarkEnd w:id="764"/>
    </w:p>
    <w:p>
      <w:pPr>
        <w:spacing w:line="500" w:lineRule="exact"/>
        <w:ind w:firstLine="560" w:firstLineChars="200"/>
        <w:rPr>
          <w:rFonts w:ascii="宋体" w:hAnsi="宋体"/>
          <w:color w:val="000000"/>
          <w:sz w:val="28"/>
          <w:szCs w:val="28"/>
        </w:rPr>
      </w:pPr>
      <w:r>
        <w:rPr>
          <w:rFonts w:ascii="宋体" w:hAnsi="宋体"/>
          <w:color w:val="000000"/>
          <w:sz w:val="28"/>
          <w:szCs w:val="28"/>
        </w:rPr>
        <w:t>1．保险：</w:t>
      </w:r>
      <w:r>
        <w:rPr>
          <w:rFonts w:hint="eastAsia" w:ascii="宋体" w:hAnsi="宋体"/>
          <w:color w:val="000000"/>
          <w:sz w:val="28"/>
          <w:szCs w:val="28"/>
        </w:rPr>
        <w:t>由</w:t>
      </w:r>
      <w:r>
        <w:rPr>
          <w:rFonts w:hint="eastAsia" w:ascii="宋体" w:hAnsi="宋体"/>
          <w:color w:val="000000"/>
          <w:sz w:val="28"/>
          <w:szCs w:val="28"/>
          <w:lang w:eastAsia="zh-CN"/>
        </w:rPr>
        <w:t>昭通市耀晨甲醇醇油有限公司</w:t>
      </w:r>
      <w:r>
        <w:rPr>
          <w:rFonts w:hint="eastAsia" w:ascii="宋体" w:hAnsi="宋体"/>
          <w:color w:val="000000"/>
          <w:sz w:val="28"/>
          <w:szCs w:val="28"/>
        </w:rPr>
        <w:t>统一购买了</w:t>
      </w:r>
      <w:r>
        <w:rPr>
          <w:rFonts w:hint="eastAsia" w:ascii="宋体" w:hAnsi="宋体"/>
          <w:color w:val="000000"/>
          <w:sz w:val="28"/>
          <w:szCs w:val="28"/>
          <w:lang w:val="en-US" w:eastAsia="zh-CN"/>
        </w:rPr>
        <w:t>工伤</w:t>
      </w:r>
      <w:r>
        <w:rPr>
          <w:rFonts w:hint="eastAsia" w:ascii="宋体" w:hAnsi="宋体"/>
          <w:color w:val="000000"/>
          <w:sz w:val="28"/>
          <w:szCs w:val="28"/>
        </w:rPr>
        <w:t>保险及安全责任保险</w:t>
      </w:r>
      <w:r>
        <w:rPr>
          <w:rFonts w:ascii="宋体" w:hAnsi="宋体"/>
          <w:color w:val="000000"/>
          <w:sz w:val="28"/>
          <w:szCs w:val="28"/>
        </w:rPr>
        <w:t>。</w:t>
      </w:r>
    </w:p>
    <w:p>
      <w:pPr>
        <w:spacing w:line="500" w:lineRule="exact"/>
        <w:ind w:firstLine="560" w:firstLineChars="200"/>
        <w:rPr>
          <w:rFonts w:ascii="宋体" w:hAnsi="宋体"/>
          <w:color w:val="000000"/>
          <w:sz w:val="28"/>
          <w:szCs w:val="28"/>
        </w:rPr>
      </w:pPr>
      <w:r>
        <w:rPr>
          <w:rFonts w:ascii="宋体" w:hAnsi="宋体"/>
          <w:color w:val="000000"/>
          <w:sz w:val="28"/>
          <w:szCs w:val="28"/>
        </w:rPr>
        <w:t>2．劳保用品：公司为从业人员发放的劳保用品有：防静电工作服</w:t>
      </w:r>
      <w:r>
        <w:rPr>
          <w:rFonts w:hint="eastAsia" w:ascii="宋体" w:hAnsi="宋体"/>
          <w:color w:val="000000"/>
          <w:sz w:val="28"/>
          <w:szCs w:val="28"/>
        </w:rPr>
        <w:t>、绝缘手套等物品</w:t>
      </w:r>
      <w:r>
        <w:rPr>
          <w:rFonts w:ascii="宋体" w:hAnsi="宋体"/>
          <w:color w:val="000000"/>
          <w:sz w:val="28"/>
          <w:szCs w:val="28"/>
        </w:rPr>
        <w:t>。</w:t>
      </w:r>
    </w:p>
    <w:bookmarkEnd w:id="758"/>
    <w:bookmarkEnd w:id="759"/>
    <w:bookmarkEnd w:id="760"/>
    <w:bookmarkEnd w:id="761"/>
    <w:p>
      <w:pPr>
        <w:pStyle w:val="19"/>
        <w:spacing w:afterLines="100" w:line="500" w:lineRule="exact"/>
        <w:jc w:val="center"/>
        <w:rPr>
          <w:rFonts w:ascii="楷体_GB2312" w:hAnsi="宋体" w:eastAsia="楷体_GB2312"/>
          <w:color w:val="000000" w:themeColor="text1"/>
          <w:kern w:val="3"/>
        </w:rPr>
      </w:pPr>
      <w:bookmarkStart w:id="765" w:name="_Toc18142"/>
      <w:bookmarkStart w:id="766" w:name="_Toc17928"/>
      <w:bookmarkStart w:id="767" w:name="_Toc11181"/>
      <w:bookmarkStart w:id="768" w:name="_Toc10949"/>
      <w:bookmarkStart w:id="769" w:name="_Toc3659"/>
      <w:bookmarkStart w:id="770" w:name="_Toc12280"/>
      <w:bookmarkStart w:id="771" w:name="_Toc29833_WPSOffice_Level2"/>
      <w:bookmarkStart w:id="772" w:name="_Toc20840"/>
      <w:bookmarkStart w:id="773" w:name="_Toc5057"/>
      <w:bookmarkStart w:id="774" w:name="_Toc28577"/>
      <w:bookmarkStart w:id="775" w:name="_Toc6642"/>
      <w:bookmarkStart w:id="776" w:name="_Toc23355"/>
      <w:bookmarkStart w:id="777" w:name="_Toc30222"/>
      <w:bookmarkStart w:id="778" w:name="_Toc14490"/>
      <w:r>
        <w:rPr>
          <w:rFonts w:hint="eastAsia" w:ascii="楷体_GB2312" w:hAnsi="宋体" w:eastAsia="楷体_GB2312"/>
          <w:color w:val="000000" w:themeColor="text1"/>
          <w:kern w:val="3"/>
        </w:rPr>
        <w:t>2.10取证以来安全经营条件变化情况</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pPr>
        <w:adjustRightInd w:val="0"/>
        <w:snapToGrid w:val="0"/>
        <w:spacing w:line="360" w:lineRule="auto"/>
        <w:ind w:firstLine="560" w:firstLineChars="200"/>
        <w:rPr>
          <w:rFonts w:ascii="宋体" w:hAnsi="宋体"/>
          <w:color w:val="000000" w:themeColor="text1"/>
          <w:sz w:val="28"/>
          <w:szCs w:val="28"/>
        </w:rPr>
      </w:pPr>
      <w:bookmarkStart w:id="779" w:name="_Toc2769"/>
      <w:bookmarkStart w:id="780" w:name="_Toc18837"/>
      <w:bookmarkStart w:id="781" w:name="_Toc26300"/>
      <w:bookmarkStart w:id="782" w:name="_Toc3453"/>
      <w:r>
        <w:rPr>
          <w:rFonts w:hint="eastAsia" w:ascii="宋体" w:hAnsi="宋体"/>
          <w:color w:val="000000" w:themeColor="text1"/>
          <w:sz w:val="28"/>
          <w:szCs w:val="28"/>
        </w:rPr>
        <w:t>根据公司法人杨明书介绍：项目于</w:t>
      </w:r>
      <w:r>
        <w:rPr>
          <w:rFonts w:hint="eastAsia" w:ascii="宋体" w:hAnsi="宋体"/>
          <w:color w:val="000000" w:themeColor="text1"/>
          <w:sz w:val="28"/>
          <w:szCs w:val="28"/>
          <w:lang w:val="en-US" w:eastAsia="zh-CN"/>
        </w:rPr>
        <w:t>2022</w:t>
      </w:r>
      <w:r>
        <w:rPr>
          <w:rFonts w:hint="eastAsia" w:ascii="宋体" w:hAnsi="宋体"/>
          <w:color w:val="000000" w:themeColor="text1"/>
          <w:sz w:val="28"/>
          <w:szCs w:val="28"/>
        </w:rPr>
        <w:t>年6月</w:t>
      </w:r>
      <w:r>
        <w:rPr>
          <w:rFonts w:hint="eastAsia" w:ascii="宋体" w:hAnsi="宋体"/>
          <w:color w:val="000000" w:themeColor="text1"/>
          <w:sz w:val="28"/>
          <w:szCs w:val="28"/>
          <w:lang w:val="en-US" w:eastAsia="zh-CN"/>
        </w:rPr>
        <w:t>1</w:t>
      </w:r>
      <w:r>
        <w:rPr>
          <w:rFonts w:hint="eastAsia" w:ascii="宋体" w:hAnsi="宋体"/>
          <w:color w:val="000000" w:themeColor="text1"/>
          <w:sz w:val="28"/>
          <w:szCs w:val="28"/>
        </w:rPr>
        <w:t>7日取得危险化学品经营许可证（昭应经字【</w:t>
      </w:r>
      <w:r>
        <w:rPr>
          <w:rFonts w:hint="eastAsia" w:ascii="宋体" w:hAnsi="宋体"/>
          <w:color w:val="000000" w:themeColor="text1"/>
          <w:sz w:val="28"/>
          <w:szCs w:val="28"/>
          <w:lang w:val="en-US" w:eastAsia="zh-CN"/>
        </w:rPr>
        <w:t>2022</w:t>
      </w:r>
      <w:r>
        <w:rPr>
          <w:rFonts w:hint="eastAsia" w:ascii="宋体" w:hAnsi="宋体"/>
          <w:color w:val="000000" w:themeColor="text1"/>
          <w:sz w:val="28"/>
          <w:szCs w:val="28"/>
        </w:rPr>
        <w:t>】04</w:t>
      </w:r>
      <w:r>
        <w:rPr>
          <w:rFonts w:hint="eastAsia" w:ascii="宋体" w:hAnsi="宋体"/>
          <w:color w:val="000000" w:themeColor="text1"/>
          <w:sz w:val="28"/>
          <w:szCs w:val="28"/>
          <w:lang w:val="en-US" w:eastAsia="zh-CN"/>
        </w:rPr>
        <w:t>9</w:t>
      </w:r>
      <w:r>
        <w:rPr>
          <w:rFonts w:hint="eastAsia" w:ascii="宋体" w:hAnsi="宋体"/>
          <w:color w:val="000000" w:themeColor="text1"/>
          <w:sz w:val="28"/>
          <w:szCs w:val="28"/>
        </w:rPr>
        <w:t>号），有效期至202</w:t>
      </w:r>
      <w:r>
        <w:rPr>
          <w:rFonts w:hint="eastAsia" w:ascii="宋体" w:hAnsi="宋体"/>
          <w:color w:val="000000" w:themeColor="text1"/>
          <w:sz w:val="28"/>
          <w:szCs w:val="28"/>
          <w:lang w:val="en-US" w:eastAsia="zh-CN"/>
        </w:rPr>
        <w:t>5</w:t>
      </w:r>
      <w:r>
        <w:rPr>
          <w:rFonts w:hint="eastAsia" w:ascii="宋体" w:hAnsi="宋体"/>
          <w:color w:val="000000" w:themeColor="text1"/>
          <w:sz w:val="28"/>
          <w:szCs w:val="28"/>
        </w:rPr>
        <w:t>年6月</w:t>
      </w:r>
      <w:r>
        <w:rPr>
          <w:rFonts w:hint="eastAsia" w:ascii="宋体" w:hAnsi="宋体"/>
          <w:color w:val="000000" w:themeColor="text1"/>
          <w:sz w:val="28"/>
          <w:szCs w:val="28"/>
          <w:lang w:val="en-US" w:eastAsia="zh-CN"/>
        </w:rPr>
        <w:t>1</w:t>
      </w:r>
      <w:r>
        <w:rPr>
          <w:rFonts w:hint="eastAsia" w:ascii="宋体" w:hAnsi="宋体"/>
          <w:color w:val="000000" w:themeColor="text1"/>
          <w:sz w:val="28"/>
          <w:szCs w:val="28"/>
        </w:rPr>
        <w:t>6日。至今未发生安全生产事故。</w:t>
      </w:r>
      <w:bookmarkEnd w:id="779"/>
      <w:bookmarkEnd w:id="780"/>
      <w:bookmarkEnd w:id="781"/>
      <w:bookmarkEnd w:id="782"/>
      <w:r>
        <w:rPr>
          <w:rFonts w:hint="eastAsia" w:ascii="宋体" w:hAnsi="宋体"/>
          <w:color w:val="000000" w:themeColor="text1"/>
          <w:sz w:val="28"/>
          <w:szCs w:val="28"/>
        </w:rPr>
        <w:t>根据现场调查，企业现经营流程未发生改变。生产工艺及周边环境未发生改变。</w:t>
      </w:r>
    </w:p>
    <w:p>
      <w:pPr>
        <w:adjustRightInd w:val="0"/>
        <w:snapToGrid w:val="0"/>
        <w:spacing w:line="360" w:lineRule="auto"/>
        <w:ind w:firstLine="560" w:firstLineChars="200"/>
        <w:rPr>
          <w:rFonts w:ascii="宋体" w:hAnsi="宋体"/>
          <w:snapToGrid w:val="0"/>
          <w:color w:val="000000" w:themeColor="text1"/>
          <w:kern w:val="0"/>
          <w:sz w:val="28"/>
          <w:szCs w:val="28"/>
        </w:rPr>
      </w:pPr>
      <w:r>
        <w:rPr>
          <w:rFonts w:hint="eastAsia" w:ascii="宋体" w:hAnsi="宋体"/>
          <w:snapToGrid w:val="0"/>
          <w:color w:val="000000" w:themeColor="text1"/>
          <w:kern w:val="0"/>
          <w:sz w:val="28"/>
          <w:szCs w:val="28"/>
        </w:rPr>
        <w:t>其他</w:t>
      </w:r>
      <w:r>
        <w:rPr>
          <w:rFonts w:ascii="宋体" w:hAnsi="宋体"/>
          <w:snapToGrid w:val="0"/>
          <w:color w:val="000000" w:themeColor="text1"/>
          <w:kern w:val="0"/>
          <w:sz w:val="28"/>
          <w:szCs w:val="28"/>
        </w:rPr>
        <w:t>变化情况</w:t>
      </w:r>
      <w:r>
        <w:rPr>
          <w:rFonts w:hint="eastAsia" w:ascii="宋体" w:hAnsi="宋体"/>
          <w:snapToGrid w:val="0"/>
          <w:color w:val="000000" w:themeColor="text1"/>
          <w:kern w:val="0"/>
          <w:sz w:val="28"/>
          <w:szCs w:val="28"/>
        </w:rPr>
        <w:t>如下：</w:t>
      </w:r>
    </w:p>
    <w:p>
      <w:pPr>
        <w:tabs>
          <w:tab w:val="left" w:pos="420"/>
          <w:tab w:val="left" w:pos="540"/>
        </w:tabs>
        <w:adjustRightInd w:val="0"/>
        <w:snapToGrid w:val="0"/>
        <w:spacing w:line="360" w:lineRule="auto"/>
        <w:ind w:firstLine="560" w:firstLineChars="200"/>
        <w:rPr>
          <w:rFonts w:ascii="宋体" w:hAnsi="宋体"/>
          <w:color w:val="000000" w:themeColor="text1"/>
          <w:sz w:val="28"/>
          <w:szCs w:val="28"/>
        </w:rPr>
      </w:pPr>
      <w:r>
        <w:rPr>
          <w:rFonts w:hint="eastAsia" w:ascii="宋体" w:hAnsi="宋体"/>
          <w:snapToGrid w:val="0"/>
          <w:color w:val="000000" w:themeColor="text1"/>
          <w:kern w:val="0"/>
          <w:sz w:val="28"/>
          <w:szCs w:val="28"/>
        </w:rPr>
        <w:t>1.</w:t>
      </w:r>
      <w:r>
        <w:rPr>
          <w:rFonts w:ascii="宋体" w:hAnsi="宋体"/>
          <w:color w:val="000000" w:themeColor="text1"/>
          <w:sz w:val="28"/>
          <w:szCs w:val="28"/>
        </w:rPr>
        <w:t>取证以来该</w:t>
      </w:r>
      <w:r>
        <w:rPr>
          <w:rFonts w:hint="eastAsia" w:ascii="宋体" w:hAnsi="宋体"/>
          <w:color w:val="000000" w:themeColor="text1"/>
          <w:sz w:val="28"/>
          <w:szCs w:val="28"/>
        </w:rPr>
        <w:t>公司根据经营需求</w:t>
      </w:r>
      <w:r>
        <w:rPr>
          <w:rFonts w:ascii="宋体" w:hAnsi="宋体"/>
          <w:color w:val="000000" w:themeColor="text1"/>
          <w:sz w:val="28"/>
          <w:szCs w:val="28"/>
        </w:rPr>
        <w:t>对安全规章管理制度、安全生产责任制、事故应急救援预案及安全操作规程等进行了修改、完善</w:t>
      </w:r>
      <w:r>
        <w:rPr>
          <w:rFonts w:hint="eastAsia" w:ascii="宋体" w:hAnsi="宋体"/>
          <w:color w:val="000000" w:themeColor="text1"/>
          <w:sz w:val="28"/>
          <w:szCs w:val="28"/>
        </w:rPr>
        <w:t>。</w:t>
      </w:r>
    </w:p>
    <w:p>
      <w:pPr>
        <w:tabs>
          <w:tab w:val="left" w:pos="420"/>
          <w:tab w:val="left" w:pos="540"/>
        </w:tabs>
        <w:adjustRightInd w:val="0"/>
        <w:snapToGrid w:val="0"/>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2.取证以来公司安全管理人员及部分工作人员发生变动。</w:t>
      </w:r>
    </w:p>
    <w:p>
      <w:pPr>
        <w:tabs>
          <w:tab w:val="left" w:pos="420"/>
          <w:tab w:val="left" w:pos="540"/>
        </w:tabs>
        <w:adjustRightInd w:val="0"/>
        <w:snapToGrid w:val="0"/>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3.</w:t>
      </w:r>
      <w:r>
        <w:rPr>
          <w:rFonts w:ascii="宋体" w:hAnsi="宋体"/>
          <w:color w:val="000000" w:themeColor="text1"/>
          <w:sz w:val="28"/>
          <w:szCs w:val="28"/>
        </w:rPr>
        <w:t>取证以来</w:t>
      </w:r>
      <w:r>
        <w:rPr>
          <w:rFonts w:hint="eastAsia" w:ascii="宋体" w:hAnsi="宋体"/>
          <w:color w:val="000000" w:themeColor="text1"/>
          <w:sz w:val="28"/>
          <w:szCs w:val="28"/>
        </w:rPr>
        <w:t>对各级部门提出的不足之处进行整改：例如及时更换失效的灭火器材及油罐区的消防沙、更换加油区老化褪色的安全警示标志等，定期对公司设备设施进行检查，并结合各级部门检查后提出的不足之处进行整改。</w:t>
      </w:r>
    </w:p>
    <w:p>
      <w:pPr>
        <w:rPr>
          <w:rFonts w:hint="eastAsia" w:ascii="楷体_GB2312" w:hAnsi="宋体" w:eastAsia="楷体_GB2312"/>
          <w:color w:val="000000" w:themeColor="text1"/>
          <w:kern w:val="3"/>
        </w:rPr>
      </w:pPr>
      <w:bookmarkStart w:id="783" w:name="_Toc14279"/>
      <w:bookmarkStart w:id="784" w:name="_Toc3155"/>
      <w:bookmarkStart w:id="785" w:name="_Toc32599"/>
      <w:bookmarkStart w:id="786" w:name="_Toc21089"/>
      <w:bookmarkStart w:id="787" w:name="_Toc2863"/>
      <w:bookmarkStart w:id="788" w:name="_Toc15467"/>
      <w:bookmarkStart w:id="789" w:name="_Toc29014"/>
      <w:bookmarkStart w:id="790" w:name="_Toc15268"/>
      <w:bookmarkStart w:id="791" w:name="_Toc9226"/>
      <w:bookmarkStart w:id="792" w:name="_Toc21003_WPSOffice_Level1"/>
      <w:bookmarkStart w:id="793" w:name="_Toc217444195"/>
      <w:bookmarkStart w:id="794" w:name="_Toc25527"/>
      <w:bookmarkStart w:id="795" w:name="_Toc30489"/>
      <w:bookmarkStart w:id="796" w:name="_Toc7717"/>
      <w:bookmarkStart w:id="797" w:name="_Toc12884"/>
      <w:bookmarkStart w:id="798" w:name="_Toc16861"/>
      <w:bookmarkStart w:id="799" w:name="_Toc21336"/>
      <w:bookmarkStart w:id="800" w:name="_Toc16802"/>
      <w:r>
        <w:rPr>
          <w:rFonts w:hint="eastAsia" w:ascii="楷体_GB2312" w:hAnsi="宋体" w:eastAsia="楷体_GB2312"/>
          <w:color w:val="000000" w:themeColor="text1"/>
          <w:kern w:val="3"/>
        </w:rPr>
        <w:br w:type="page"/>
      </w:r>
    </w:p>
    <w:p>
      <w:pPr>
        <w:pStyle w:val="19"/>
        <w:spacing w:afterLines="100" w:line="500" w:lineRule="exact"/>
        <w:jc w:val="center"/>
        <w:rPr>
          <w:rFonts w:hint="eastAsia" w:ascii="楷体_GB2312" w:hAnsi="宋体" w:eastAsia="楷体_GB2312"/>
          <w:color w:val="000000" w:themeColor="text1"/>
          <w:kern w:val="3"/>
        </w:rPr>
      </w:pPr>
      <w:r>
        <w:rPr>
          <w:rFonts w:hint="eastAsia" w:ascii="楷体_GB2312" w:hAnsi="宋体" w:eastAsia="楷体_GB2312"/>
          <w:color w:val="000000" w:themeColor="text1"/>
          <w:kern w:val="3"/>
        </w:rPr>
        <w:t>第3章 主要危险、有害因素辨识与分析</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pPr>
        <w:pStyle w:val="19"/>
        <w:spacing w:afterLines="100" w:line="500" w:lineRule="exact"/>
        <w:jc w:val="center"/>
        <w:rPr>
          <w:rFonts w:ascii="楷体_GB2312" w:hAnsi="宋体" w:eastAsia="楷体_GB2312"/>
          <w:color w:val="000000" w:themeColor="text1"/>
          <w:kern w:val="3"/>
        </w:rPr>
      </w:pPr>
      <w:bookmarkStart w:id="801" w:name="_Toc3349_WPSOffice_Level2"/>
      <w:bookmarkStart w:id="802" w:name="_Toc17667"/>
      <w:bookmarkStart w:id="803" w:name="_Toc26359"/>
      <w:bookmarkStart w:id="804" w:name="_Toc71798357"/>
      <w:bookmarkStart w:id="805" w:name="_Toc16044"/>
      <w:bookmarkStart w:id="806" w:name="_Toc88254465"/>
      <w:bookmarkStart w:id="807" w:name="_Toc20503"/>
      <w:bookmarkStart w:id="808" w:name="_Toc20472"/>
      <w:bookmarkStart w:id="809" w:name="_Toc20068"/>
      <w:bookmarkStart w:id="810" w:name="_Toc23497"/>
      <w:bookmarkStart w:id="811" w:name="_Toc10664"/>
      <w:bookmarkStart w:id="812" w:name="_Toc27434"/>
      <w:bookmarkStart w:id="813" w:name="_Toc3683"/>
      <w:bookmarkStart w:id="814" w:name="_Toc31505"/>
      <w:bookmarkStart w:id="815" w:name="_Toc27628"/>
      <w:bookmarkStart w:id="816" w:name="_Toc25025"/>
      <w:bookmarkStart w:id="817" w:name="_Toc86561258"/>
      <w:bookmarkStart w:id="818" w:name="_Toc27494"/>
      <w:bookmarkStart w:id="819" w:name="_Toc208674938"/>
      <w:bookmarkStart w:id="820" w:name="_Toc18332"/>
      <w:bookmarkStart w:id="821" w:name="_Toc88254724"/>
      <w:bookmarkStart w:id="822" w:name="_Toc208674350"/>
      <w:bookmarkStart w:id="823" w:name="_Toc244667383"/>
      <w:bookmarkStart w:id="824" w:name="_Toc82405066"/>
      <w:bookmarkStart w:id="825" w:name="_Toc86648100"/>
      <w:bookmarkStart w:id="826" w:name="_Toc31087"/>
      <w:r>
        <w:rPr>
          <w:rFonts w:hint="eastAsia" w:ascii="楷体_GB2312" w:hAnsi="宋体" w:eastAsia="楷体_GB2312"/>
          <w:color w:val="000000" w:themeColor="text1"/>
          <w:kern w:val="3"/>
        </w:rPr>
        <w:t>3.1辨识与分析的目的</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危险、有害因素辨识与分析是安全评价的基础。</w:t>
      </w:r>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危险因素是指系统（人、机械、材料、设施、工艺、环境）中存在的，能对人造成伤亡，对物造成突发性损害的因素；有害因素是指影响人的身体健康，导致疾病，或对物造成慢性损害的因素。</w:t>
      </w:r>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主要危险、有害因素的识别，就是找出生产系统中最有可能引发重大事故，导致不良后果的材、物、工艺过程、设施和环境特征等，识别可能发生的事故、后果和条件，以便采取预防和控制措施。</w:t>
      </w:r>
    </w:p>
    <w:p>
      <w:pPr>
        <w:pStyle w:val="19"/>
        <w:spacing w:afterLines="100" w:line="500" w:lineRule="exact"/>
        <w:jc w:val="center"/>
        <w:rPr>
          <w:rFonts w:ascii="楷体_GB2312" w:hAnsi="宋体" w:eastAsia="楷体_GB2312"/>
          <w:color w:val="000000" w:themeColor="text1"/>
          <w:kern w:val="3"/>
        </w:rPr>
      </w:pPr>
      <w:bookmarkStart w:id="827" w:name="_Toc244667384"/>
      <w:bookmarkStart w:id="828" w:name="_Toc208674939"/>
      <w:bookmarkStart w:id="829" w:name="_Toc23"/>
      <w:bookmarkStart w:id="830" w:name="_Toc13845"/>
      <w:bookmarkStart w:id="831" w:name="_Toc1275"/>
      <w:bookmarkStart w:id="832" w:name="_Toc26038"/>
      <w:bookmarkStart w:id="833" w:name="_Toc28210"/>
      <w:bookmarkStart w:id="834" w:name="_Toc9125"/>
      <w:bookmarkStart w:id="835" w:name="_Toc3019"/>
      <w:bookmarkStart w:id="836" w:name="_Toc208674351"/>
      <w:bookmarkStart w:id="837" w:name="_Toc10474_WPSOffice_Level2"/>
      <w:bookmarkStart w:id="838" w:name="_Toc4065"/>
      <w:bookmarkStart w:id="839" w:name="_Toc20495"/>
      <w:bookmarkStart w:id="840" w:name="_Toc6492"/>
      <w:bookmarkStart w:id="841" w:name="_Toc3761"/>
      <w:bookmarkStart w:id="842" w:name="_Toc21984"/>
      <w:bookmarkStart w:id="843" w:name="_Toc12688"/>
      <w:bookmarkStart w:id="844" w:name="_Toc20500"/>
      <w:bookmarkStart w:id="845" w:name="_Toc1072"/>
      <w:bookmarkStart w:id="846" w:name="_Toc20365"/>
      <w:r>
        <w:rPr>
          <w:rFonts w:hint="eastAsia" w:ascii="楷体_GB2312" w:hAnsi="宋体" w:eastAsia="楷体_GB2312"/>
          <w:color w:val="000000" w:themeColor="text1"/>
          <w:kern w:val="3"/>
        </w:rPr>
        <w:t>3.2辨识与分析的方法</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按照《企业职工伤亡事故分类》（GB6441-1986），综合考虑起因物、引起事故的诱导性原因、致害物、伤害方式等，将危险因素分为20类，分别为物体打击、车辆伤害、机械伤害、起重伤害、触电、淹溺、灼烫、火灾、高处坠落、坍塌、冒顶片帮、透水、放炮、瓦斯爆炸、火药爆炸、锅炉爆炸、容器爆炸、其他爆炸、中毒和窒息及其他伤害等。</w:t>
      </w:r>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按照《生产过程危险和有害因素分类与代码》（</w:t>
      </w:r>
      <w:r>
        <w:rPr>
          <w:rFonts w:hint="eastAsia"/>
          <w:snapToGrid w:val="0"/>
          <w:color w:val="000000" w:themeColor="text1"/>
          <w:kern w:val="0"/>
          <w:sz w:val="28"/>
          <w:szCs w:val="28"/>
          <w:lang w:eastAsia="zh-CN"/>
        </w:rPr>
        <w:t>GB/T13861-2022</w:t>
      </w:r>
      <w:r>
        <w:rPr>
          <w:snapToGrid w:val="0"/>
          <w:color w:val="000000" w:themeColor="text1"/>
          <w:kern w:val="0"/>
          <w:sz w:val="28"/>
          <w:szCs w:val="28"/>
        </w:rPr>
        <w:t>）的规定，将生产过程中的危险、有害因素分为以下4类：</w:t>
      </w:r>
    </w:p>
    <w:p>
      <w:pPr>
        <w:adjustRightInd w:val="0"/>
        <w:snapToGrid w:val="0"/>
        <w:spacing w:line="500" w:lineRule="exact"/>
        <w:ind w:firstLine="560" w:firstLineChars="200"/>
        <w:rPr>
          <w:snapToGrid w:val="0"/>
          <w:color w:val="000000" w:themeColor="text1"/>
          <w:kern w:val="0"/>
          <w:sz w:val="28"/>
          <w:szCs w:val="28"/>
        </w:rPr>
      </w:pPr>
      <w:bookmarkStart w:id="847" w:name="_Toc32715"/>
      <w:bookmarkStart w:id="848" w:name="_Toc1693"/>
      <w:bookmarkStart w:id="849" w:name="_Toc13397"/>
      <w:bookmarkStart w:id="850" w:name="_Toc18252"/>
      <w:bookmarkStart w:id="851" w:name="_Toc21932"/>
      <w:r>
        <w:rPr>
          <w:snapToGrid w:val="0"/>
          <w:color w:val="000000" w:themeColor="text1"/>
          <w:kern w:val="0"/>
          <w:sz w:val="28"/>
          <w:szCs w:val="28"/>
        </w:rPr>
        <w:t>1、人的因素</w:t>
      </w:r>
      <w:bookmarkEnd w:id="847"/>
      <w:bookmarkEnd w:id="848"/>
      <w:bookmarkEnd w:id="849"/>
      <w:bookmarkEnd w:id="850"/>
      <w:bookmarkEnd w:id="851"/>
    </w:p>
    <w:p>
      <w:pPr>
        <w:tabs>
          <w:tab w:val="left" w:pos="1050"/>
          <w:tab w:val="left" w:pos="14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1）心理、生理性危险和有害因素；</w:t>
      </w:r>
    </w:p>
    <w:p>
      <w:pPr>
        <w:tabs>
          <w:tab w:val="left" w:pos="1050"/>
          <w:tab w:val="left" w:pos="14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2）行为性危险和有害因素。</w:t>
      </w:r>
    </w:p>
    <w:p>
      <w:pPr>
        <w:adjustRightInd w:val="0"/>
        <w:snapToGrid w:val="0"/>
        <w:spacing w:line="500" w:lineRule="exact"/>
        <w:ind w:firstLine="560" w:firstLineChars="200"/>
        <w:rPr>
          <w:snapToGrid w:val="0"/>
          <w:color w:val="000000" w:themeColor="text1"/>
          <w:kern w:val="0"/>
          <w:sz w:val="28"/>
          <w:szCs w:val="28"/>
        </w:rPr>
      </w:pPr>
      <w:bookmarkStart w:id="852" w:name="_Toc26230"/>
      <w:bookmarkStart w:id="853" w:name="_Toc29906"/>
      <w:bookmarkStart w:id="854" w:name="_Toc25387"/>
      <w:bookmarkStart w:id="855" w:name="_Toc20338"/>
      <w:bookmarkStart w:id="856" w:name="_Toc5642"/>
      <w:r>
        <w:rPr>
          <w:snapToGrid w:val="0"/>
          <w:color w:val="000000" w:themeColor="text1"/>
          <w:kern w:val="0"/>
          <w:sz w:val="28"/>
          <w:szCs w:val="28"/>
        </w:rPr>
        <w:t>2、物的因素</w:t>
      </w:r>
      <w:bookmarkEnd w:id="852"/>
      <w:bookmarkEnd w:id="853"/>
      <w:bookmarkEnd w:id="854"/>
      <w:bookmarkEnd w:id="855"/>
      <w:bookmarkEnd w:id="856"/>
    </w:p>
    <w:p>
      <w:pPr>
        <w:tabs>
          <w:tab w:val="left" w:pos="1050"/>
          <w:tab w:val="left" w:pos="14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1）物理性危险和有害因素；</w:t>
      </w:r>
    </w:p>
    <w:p>
      <w:pPr>
        <w:tabs>
          <w:tab w:val="left" w:pos="1050"/>
          <w:tab w:val="left" w:pos="14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2）化学性危险和有害因素；</w:t>
      </w:r>
    </w:p>
    <w:p>
      <w:pPr>
        <w:tabs>
          <w:tab w:val="left" w:pos="1050"/>
          <w:tab w:val="left" w:pos="14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3）生物性危险和有害因素。</w:t>
      </w:r>
    </w:p>
    <w:p>
      <w:pPr>
        <w:adjustRightInd w:val="0"/>
        <w:snapToGrid w:val="0"/>
        <w:spacing w:line="500" w:lineRule="exact"/>
        <w:ind w:firstLine="560" w:firstLineChars="200"/>
        <w:rPr>
          <w:snapToGrid w:val="0"/>
          <w:color w:val="000000" w:themeColor="text1"/>
          <w:kern w:val="0"/>
          <w:sz w:val="28"/>
          <w:szCs w:val="28"/>
        </w:rPr>
      </w:pPr>
      <w:bookmarkStart w:id="857" w:name="_Toc23941"/>
      <w:bookmarkStart w:id="858" w:name="_Toc7189"/>
      <w:bookmarkStart w:id="859" w:name="_Toc9643"/>
      <w:bookmarkStart w:id="860" w:name="_Toc27286"/>
      <w:bookmarkStart w:id="861" w:name="_Toc29181"/>
      <w:r>
        <w:rPr>
          <w:snapToGrid w:val="0"/>
          <w:color w:val="000000" w:themeColor="text1"/>
          <w:kern w:val="0"/>
          <w:sz w:val="28"/>
          <w:szCs w:val="28"/>
        </w:rPr>
        <w:t>3、环境因素</w:t>
      </w:r>
      <w:bookmarkEnd w:id="857"/>
      <w:bookmarkEnd w:id="858"/>
      <w:bookmarkEnd w:id="859"/>
      <w:bookmarkEnd w:id="860"/>
      <w:bookmarkEnd w:id="861"/>
    </w:p>
    <w:p>
      <w:pPr>
        <w:tabs>
          <w:tab w:val="left" w:pos="1050"/>
          <w:tab w:val="left" w:pos="14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1）室内、外作业场所环境不良；</w:t>
      </w:r>
    </w:p>
    <w:p>
      <w:pPr>
        <w:tabs>
          <w:tab w:val="left" w:pos="1050"/>
          <w:tab w:val="left" w:pos="14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2）地下（含水下）作业环境不良；</w:t>
      </w:r>
    </w:p>
    <w:p>
      <w:pPr>
        <w:tabs>
          <w:tab w:val="left" w:pos="1050"/>
          <w:tab w:val="left" w:pos="14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3）其他作业环境不良。</w:t>
      </w:r>
    </w:p>
    <w:p>
      <w:pPr>
        <w:adjustRightInd w:val="0"/>
        <w:snapToGrid w:val="0"/>
        <w:spacing w:line="500" w:lineRule="exact"/>
        <w:ind w:firstLine="560" w:firstLineChars="200"/>
        <w:rPr>
          <w:snapToGrid w:val="0"/>
          <w:color w:val="000000" w:themeColor="text1"/>
          <w:kern w:val="0"/>
          <w:sz w:val="28"/>
          <w:szCs w:val="28"/>
        </w:rPr>
      </w:pPr>
      <w:bookmarkStart w:id="862" w:name="_Toc30476"/>
      <w:bookmarkStart w:id="863" w:name="_Toc25368"/>
      <w:bookmarkStart w:id="864" w:name="_Toc21465"/>
      <w:bookmarkStart w:id="865" w:name="_Toc3393"/>
      <w:bookmarkStart w:id="866" w:name="_Toc22002"/>
      <w:r>
        <w:rPr>
          <w:snapToGrid w:val="0"/>
          <w:color w:val="000000" w:themeColor="text1"/>
          <w:kern w:val="0"/>
          <w:sz w:val="28"/>
          <w:szCs w:val="28"/>
        </w:rPr>
        <w:t>4、管理因素</w:t>
      </w:r>
      <w:bookmarkEnd w:id="862"/>
      <w:bookmarkEnd w:id="863"/>
      <w:bookmarkEnd w:id="864"/>
      <w:bookmarkEnd w:id="865"/>
      <w:bookmarkEnd w:id="866"/>
    </w:p>
    <w:p>
      <w:pPr>
        <w:tabs>
          <w:tab w:val="left" w:pos="1050"/>
          <w:tab w:val="left" w:pos="1400"/>
        </w:tabs>
        <w:adjustRightInd w:val="0"/>
        <w:snapToGrid w:val="0"/>
        <w:spacing w:line="500" w:lineRule="exact"/>
        <w:ind w:firstLine="560" w:firstLineChars="200"/>
        <w:rPr>
          <w:snapToGrid w:val="0"/>
          <w:color w:val="FF0000"/>
          <w:kern w:val="0"/>
          <w:sz w:val="28"/>
          <w:szCs w:val="28"/>
        </w:rPr>
      </w:pPr>
      <w:r>
        <w:rPr>
          <w:snapToGrid w:val="0"/>
          <w:color w:val="FF0000"/>
          <w:kern w:val="0"/>
          <w:sz w:val="28"/>
          <w:szCs w:val="28"/>
        </w:rPr>
        <w:t>1）职业安全卫生组织机构不健全</w:t>
      </w:r>
      <w:r>
        <w:rPr>
          <w:rFonts w:hint="eastAsia"/>
          <w:snapToGrid w:val="0"/>
          <w:color w:val="FF0000"/>
          <w:kern w:val="0"/>
          <w:sz w:val="28"/>
          <w:szCs w:val="28"/>
          <w:lang w:eastAsia="zh-CN"/>
        </w:rPr>
        <w:t>（</w:t>
      </w:r>
      <w:r>
        <w:rPr>
          <w:rFonts w:hint="eastAsia"/>
          <w:snapToGrid w:val="0"/>
          <w:color w:val="FF0000"/>
          <w:kern w:val="0"/>
          <w:sz w:val="28"/>
          <w:szCs w:val="28"/>
          <w:lang w:val="en-US" w:eastAsia="zh-CN"/>
        </w:rPr>
        <w:t>未建立</w:t>
      </w:r>
      <w:r>
        <w:rPr>
          <w:rFonts w:hint="eastAsia"/>
          <w:snapToGrid w:val="0"/>
          <w:color w:val="FF0000"/>
          <w:kern w:val="0"/>
          <w:sz w:val="28"/>
          <w:szCs w:val="28"/>
          <w:lang w:eastAsia="zh-CN"/>
        </w:rPr>
        <w:t>）</w:t>
      </w:r>
      <w:r>
        <w:rPr>
          <w:snapToGrid w:val="0"/>
          <w:color w:val="FF0000"/>
          <w:kern w:val="0"/>
          <w:sz w:val="28"/>
          <w:szCs w:val="28"/>
        </w:rPr>
        <w:t>；</w:t>
      </w:r>
    </w:p>
    <w:p>
      <w:pPr>
        <w:tabs>
          <w:tab w:val="left" w:pos="1050"/>
          <w:tab w:val="left" w:pos="1400"/>
        </w:tabs>
        <w:adjustRightInd w:val="0"/>
        <w:snapToGrid w:val="0"/>
        <w:spacing w:line="500" w:lineRule="exact"/>
        <w:ind w:firstLine="560" w:firstLineChars="200"/>
        <w:rPr>
          <w:snapToGrid w:val="0"/>
          <w:color w:val="FF0000"/>
          <w:kern w:val="0"/>
          <w:sz w:val="28"/>
          <w:szCs w:val="28"/>
        </w:rPr>
      </w:pPr>
      <w:r>
        <w:rPr>
          <w:snapToGrid w:val="0"/>
          <w:color w:val="FF0000"/>
          <w:kern w:val="0"/>
          <w:sz w:val="28"/>
          <w:szCs w:val="28"/>
        </w:rPr>
        <w:t>2）职业安全卫生责任制未落实</w:t>
      </w:r>
      <w:r>
        <w:rPr>
          <w:rFonts w:hint="eastAsia"/>
          <w:snapToGrid w:val="0"/>
          <w:color w:val="FF0000"/>
          <w:kern w:val="0"/>
          <w:sz w:val="28"/>
          <w:szCs w:val="28"/>
          <w:lang w:eastAsia="zh-CN"/>
        </w:rPr>
        <w:t>（</w:t>
      </w:r>
      <w:r>
        <w:rPr>
          <w:rFonts w:hint="eastAsia"/>
          <w:snapToGrid w:val="0"/>
          <w:color w:val="FF0000"/>
          <w:kern w:val="0"/>
          <w:sz w:val="28"/>
          <w:szCs w:val="28"/>
          <w:lang w:val="en-US" w:eastAsia="zh-CN"/>
        </w:rPr>
        <w:t>不健全</w:t>
      </w:r>
      <w:r>
        <w:rPr>
          <w:rFonts w:hint="eastAsia"/>
          <w:snapToGrid w:val="0"/>
          <w:color w:val="FF0000"/>
          <w:kern w:val="0"/>
          <w:sz w:val="28"/>
          <w:szCs w:val="28"/>
          <w:lang w:eastAsia="zh-CN"/>
        </w:rPr>
        <w:t>）</w:t>
      </w:r>
      <w:r>
        <w:rPr>
          <w:snapToGrid w:val="0"/>
          <w:color w:val="FF0000"/>
          <w:kern w:val="0"/>
          <w:sz w:val="28"/>
          <w:szCs w:val="28"/>
        </w:rPr>
        <w:t>；</w:t>
      </w:r>
    </w:p>
    <w:p>
      <w:pPr>
        <w:tabs>
          <w:tab w:val="left" w:pos="1050"/>
          <w:tab w:val="left" w:pos="1400"/>
        </w:tabs>
        <w:adjustRightInd w:val="0"/>
        <w:snapToGrid w:val="0"/>
        <w:spacing w:line="500" w:lineRule="exact"/>
        <w:ind w:firstLine="560" w:firstLineChars="200"/>
        <w:rPr>
          <w:snapToGrid w:val="0"/>
          <w:color w:val="FF0000"/>
          <w:kern w:val="0"/>
          <w:sz w:val="28"/>
          <w:szCs w:val="28"/>
        </w:rPr>
      </w:pPr>
      <w:r>
        <w:rPr>
          <w:snapToGrid w:val="0"/>
          <w:color w:val="FF0000"/>
          <w:kern w:val="0"/>
          <w:sz w:val="28"/>
          <w:szCs w:val="28"/>
        </w:rPr>
        <w:t>3）职业安全卫生管理规章制度不完善</w:t>
      </w:r>
      <w:r>
        <w:rPr>
          <w:rFonts w:hint="eastAsia"/>
          <w:snapToGrid w:val="0"/>
          <w:color w:val="FF0000"/>
          <w:kern w:val="0"/>
          <w:sz w:val="28"/>
          <w:szCs w:val="28"/>
          <w:lang w:eastAsia="zh-CN"/>
        </w:rPr>
        <w:t>（</w:t>
      </w:r>
      <w:r>
        <w:rPr>
          <w:rFonts w:hint="eastAsia"/>
          <w:snapToGrid w:val="0"/>
          <w:color w:val="FF0000"/>
          <w:kern w:val="0"/>
          <w:sz w:val="28"/>
          <w:szCs w:val="28"/>
          <w:lang w:val="en-US" w:eastAsia="zh-CN"/>
        </w:rPr>
        <w:t>不健全</w:t>
      </w:r>
      <w:r>
        <w:rPr>
          <w:rFonts w:hint="eastAsia"/>
          <w:snapToGrid w:val="0"/>
          <w:color w:val="FF0000"/>
          <w:kern w:val="0"/>
          <w:sz w:val="28"/>
          <w:szCs w:val="28"/>
          <w:lang w:eastAsia="zh-CN"/>
        </w:rPr>
        <w:t>）</w:t>
      </w:r>
      <w:r>
        <w:rPr>
          <w:snapToGrid w:val="0"/>
          <w:color w:val="FF0000"/>
          <w:kern w:val="0"/>
          <w:sz w:val="28"/>
          <w:szCs w:val="28"/>
        </w:rPr>
        <w:t>；</w:t>
      </w:r>
    </w:p>
    <w:p>
      <w:pPr>
        <w:tabs>
          <w:tab w:val="left" w:pos="1050"/>
          <w:tab w:val="left" w:pos="1400"/>
        </w:tabs>
        <w:adjustRightInd w:val="0"/>
        <w:snapToGrid w:val="0"/>
        <w:spacing w:line="500" w:lineRule="exact"/>
        <w:ind w:firstLine="560" w:firstLineChars="200"/>
        <w:rPr>
          <w:snapToGrid w:val="0"/>
          <w:color w:val="FF0000"/>
          <w:kern w:val="0"/>
          <w:sz w:val="28"/>
          <w:szCs w:val="28"/>
        </w:rPr>
      </w:pPr>
      <w:r>
        <w:rPr>
          <w:snapToGrid w:val="0"/>
          <w:color w:val="FF0000"/>
          <w:kern w:val="0"/>
          <w:sz w:val="28"/>
          <w:szCs w:val="28"/>
        </w:rPr>
        <w:t>4）</w:t>
      </w:r>
      <w:r>
        <w:rPr>
          <w:rFonts w:hint="eastAsia"/>
          <w:snapToGrid w:val="0"/>
          <w:color w:val="FF0000"/>
          <w:kern w:val="0"/>
          <w:sz w:val="28"/>
          <w:szCs w:val="28"/>
          <w:lang w:val="en-US" w:eastAsia="zh-CN"/>
        </w:rPr>
        <w:t>建设项目“三同时”制度未落实</w:t>
      </w:r>
      <w:r>
        <w:rPr>
          <w:snapToGrid w:val="0"/>
          <w:color w:val="FF0000"/>
          <w:kern w:val="0"/>
          <w:sz w:val="28"/>
          <w:szCs w:val="28"/>
        </w:rPr>
        <w:t>；</w:t>
      </w:r>
    </w:p>
    <w:p>
      <w:pPr>
        <w:tabs>
          <w:tab w:val="left" w:pos="1050"/>
          <w:tab w:val="left" w:pos="1400"/>
        </w:tabs>
        <w:adjustRightInd w:val="0"/>
        <w:snapToGrid w:val="0"/>
        <w:spacing w:line="500" w:lineRule="exact"/>
        <w:ind w:firstLine="560" w:firstLineChars="200"/>
        <w:rPr>
          <w:snapToGrid w:val="0"/>
          <w:color w:val="FF0000"/>
          <w:kern w:val="0"/>
          <w:sz w:val="28"/>
          <w:szCs w:val="28"/>
        </w:rPr>
      </w:pPr>
      <w:r>
        <w:rPr>
          <w:snapToGrid w:val="0"/>
          <w:color w:val="FF0000"/>
          <w:kern w:val="0"/>
          <w:sz w:val="28"/>
          <w:szCs w:val="28"/>
        </w:rPr>
        <w:t>5）</w:t>
      </w:r>
      <w:r>
        <w:rPr>
          <w:rFonts w:hint="eastAsia"/>
          <w:snapToGrid w:val="0"/>
          <w:color w:val="FF0000"/>
          <w:kern w:val="0"/>
          <w:sz w:val="28"/>
          <w:szCs w:val="28"/>
          <w:lang w:val="en-US" w:eastAsia="zh-CN"/>
        </w:rPr>
        <w:t>操作规程不规范</w:t>
      </w:r>
      <w:r>
        <w:rPr>
          <w:snapToGrid w:val="0"/>
          <w:color w:val="FF0000"/>
          <w:kern w:val="0"/>
          <w:sz w:val="28"/>
          <w:szCs w:val="28"/>
        </w:rPr>
        <w:t>；</w:t>
      </w:r>
    </w:p>
    <w:p>
      <w:pPr>
        <w:tabs>
          <w:tab w:val="left" w:pos="1050"/>
          <w:tab w:val="left" w:pos="1400"/>
        </w:tabs>
        <w:adjustRightInd w:val="0"/>
        <w:snapToGrid w:val="0"/>
        <w:spacing w:line="500" w:lineRule="exact"/>
        <w:ind w:firstLine="560" w:firstLineChars="200"/>
        <w:rPr>
          <w:rFonts w:hint="eastAsia"/>
          <w:snapToGrid w:val="0"/>
          <w:color w:val="FF0000"/>
          <w:kern w:val="0"/>
          <w:sz w:val="28"/>
          <w:szCs w:val="28"/>
          <w:lang w:val="en-US" w:eastAsia="zh-CN"/>
        </w:rPr>
      </w:pPr>
      <w:r>
        <w:rPr>
          <w:snapToGrid w:val="0"/>
          <w:color w:val="FF0000"/>
          <w:kern w:val="0"/>
          <w:sz w:val="28"/>
          <w:szCs w:val="28"/>
        </w:rPr>
        <w:t>6）</w:t>
      </w:r>
      <w:r>
        <w:rPr>
          <w:rFonts w:hint="eastAsia"/>
          <w:snapToGrid w:val="0"/>
          <w:color w:val="FF0000"/>
          <w:kern w:val="0"/>
          <w:sz w:val="28"/>
          <w:szCs w:val="28"/>
          <w:lang w:val="en-US" w:eastAsia="zh-CN"/>
        </w:rPr>
        <w:t>事故应急预案及响应缺陷；</w:t>
      </w:r>
    </w:p>
    <w:p>
      <w:pPr>
        <w:tabs>
          <w:tab w:val="left" w:pos="1050"/>
          <w:tab w:val="left" w:pos="1400"/>
        </w:tabs>
        <w:adjustRightInd w:val="0"/>
        <w:snapToGrid w:val="0"/>
        <w:spacing w:line="500" w:lineRule="exact"/>
        <w:ind w:firstLine="560" w:firstLineChars="200"/>
        <w:rPr>
          <w:rFonts w:hint="eastAsia"/>
          <w:snapToGrid w:val="0"/>
          <w:color w:val="FF0000"/>
          <w:kern w:val="0"/>
          <w:sz w:val="28"/>
          <w:szCs w:val="28"/>
          <w:lang w:val="en-US" w:eastAsia="zh-CN"/>
        </w:rPr>
      </w:pPr>
      <w:r>
        <w:rPr>
          <w:rFonts w:hint="eastAsia"/>
          <w:snapToGrid w:val="0"/>
          <w:color w:val="FF0000"/>
          <w:kern w:val="0"/>
          <w:sz w:val="28"/>
          <w:szCs w:val="28"/>
          <w:lang w:val="en-US" w:eastAsia="zh-CN"/>
        </w:rPr>
        <w:t>7）培训（教育）制度不完善；</w:t>
      </w:r>
    </w:p>
    <w:p>
      <w:pPr>
        <w:tabs>
          <w:tab w:val="left" w:pos="1050"/>
          <w:tab w:val="left" w:pos="1400"/>
        </w:tabs>
        <w:adjustRightInd w:val="0"/>
        <w:snapToGrid w:val="0"/>
        <w:spacing w:line="500" w:lineRule="exact"/>
        <w:ind w:firstLine="560" w:firstLineChars="200"/>
        <w:rPr>
          <w:rFonts w:hint="eastAsia"/>
          <w:snapToGrid w:val="0"/>
          <w:color w:val="FF0000"/>
          <w:kern w:val="0"/>
          <w:sz w:val="28"/>
          <w:szCs w:val="28"/>
          <w:lang w:val="en-US" w:eastAsia="zh-CN"/>
        </w:rPr>
      </w:pPr>
      <w:r>
        <w:rPr>
          <w:rFonts w:hint="eastAsia"/>
          <w:snapToGrid w:val="0"/>
          <w:color w:val="FF0000"/>
          <w:kern w:val="0"/>
          <w:sz w:val="28"/>
          <w:szCs w:val="28"/>
          <w:lang w:val="en-US" w:eastAsia="zh-CN"/>
        </w:rPr>
        <w:t>8）其他职业安全卫士管理规章制度不健全；</w:t>
      </w:r>
    </w:p>
    <w:p>
      <w:pPr>
        <w:tabs>
          <w:tab w:val="left" w:pos="1050"/>
          <w:tab w:val="left" w:pos="1400"/>
        </w:tabs>
        <w:adjustRightInd w:val="0"/>
        <w:snapToGrid w:val="0"/>
        <w:spacing w:line="500" w:lineRule="exact"/>
        <w:ind w:firstLine="560" w:firstLineChars="200"/>
        <w:rPr>
          <w:rFonts w:hint="eastAsia"/>
          <w:snapToGrid w:val="0"/>
          <w:color w:val="FF0000"/>
          <w:kern w:val="0"/>
          <w:sz w:val="28"/>
          <w:szCs w:val="28"/>
          <w:lang w:val="en-US" w:eastAsia="zh-CN"/>
        </w:rPr>
      </w:pPr>
      <w:r>
        <w:rPr>
          <w:rFonts w:hint="eastAsia"/>
          <w:snapToGrid w:val="0"/>
          <w:color w:val="FF0000"/>
          <w:kern w:val="0"/>
          <w:sz w:val="28"/>
          <w:szCs w:val="28"/>
          <w:lang w:val="en-US" w:eastAsia="zh-CN"/>
        </w:rPr>
        <w:t>9）职业安全卫士投入不足；</w:t>
      </w:r>
    </w:p>
    <w:p>
      <w:pPr>
        <w:tabs>
          <w:tab w:val="left" w:pos="1050"/>
          <w:tab w:val="left" w:pos="1400"/>
        </w:tabs>
        <w:adjustRightInd w:val="0"/>
        <w:snapToGrid w:val="0"/>
        <w:spacing w:line="500" w:lineRule="exact"/>
        <w:ind w:firstLine="560" w:firstLineChars="200"/>
        <w:rPr>
          <w:rFonts w:hint="eastAsia"/>
          <w:snapToGrid w:val="0"/>
          <w:color w:val="FF0000"/>
          <w:kern w:val="0"/>
          <w:sz w:val="28"/>
          <w:szCs w:val="28"/>
          <w:lang w:val="en-US" w:eastAsia="zh-CN"/>
        </w:rPr>
      </w:pPr>
      <w:r>
        <w:rPr>
          <w:rFonts w:hint="eastAsia"/>
          <w:snapToGrid w:val="0"/>
          <w:color w:val="FF0000"/>
          <w:kern w:val="0"/>
          <w:sz w:val="28"/>
          <w:szCs w:val="28"/>
          <w:lang w:val="en-US" w:eastAsia="zh-CN"/>
        </w:rPr>
        <w:t>10）职业健康管理不完善；</w:t>
      </w:r>
    </w:p>
    <w:p>
      <w:pPr>
        <w:tabs>
          <w:tab w:val="left" w:pos="1050"/>
          <w:tab w:val="left" w:pos="1400"/>
        </w:tabs>
        <w:adjustRightInd w:val="0"/>
        <w:snapToGrid w:val="0"/>
        <w:spacing w:line="500" w:lineRule="exact"/>
        <w:ind w:firstLine="560" w:firstLineChars="200"/>
        <w:rPr>
          <w:snapToGrid w:val="0"/>
          <w:color w:val="000000" w:themeColor="text1"/>
          <w:kern w:val="0"/>
          <w:sz w:val="28"/>
          <w:szCs w:val="28"/>
        </w:rPr>
      </w:pPr>
      <w:r>
        <w:rPr>
          <w:rFonts w:hint="eastAsia"/>
          <w:snapToGrid w:val="0"/>
          <w:color w:val="FF0000"/>
          <w:kern w:val="0"/>
          <w:sz w:val="28"/>
          <w:szCs w:val="28"/>
          <w:lang w:val="en-US" w:eastAsia="zh-CN"/>
        </w:rPr>
        <w:t>11）其他管理因素缺陷</w:t>
      </w:r>
      <w:r>
        <w:rPr>
          <w:snapToGrid w:val="0"/>
          <w:color w:val="000000" w:themeColor="text1"/>
          <w:kern w:val="0"/>
          <w:sz w:val="28"/>
          <w:szCs w:val="28"/>
        </w:rPr>
        <w:t>。</w:t>
      </w:r>
    </w:p>
    <w:p>
      <w:pPr>
        <w:widowControl/>
        <w:suppressAutoHyphens/>
        <w:adjustRightInd w:val="0"/>
        <w:snapToGrid w:val="0"/>
        <w:spacing w:line="500" w:lineRule="exact"/>
        <w:ind w:firstLine="560" w:firstLineChars="200"/>
        <w:rPr>
          <w:color w:val="000000" w:themeColor="text1"/>
          <w:sz w:val="28"/>
        </w:rPr>
      </w:pPr>
      <w:r>
        <w:rPr>
          <w:snapToGrid w:val="0"/>
          <w:color w:val="000000" w:themeColor="text1"/>
          <w:kern w:val="0"/>
          <w:sz w:val="28"/>
          <w:szCs w:val="28"/>
        </w:rPr>
        <w:t>综上所述，本报告对危险、有害因素的辨识方法，是根据</w:t>
      </w:r>
      <w:r>
        <w:rPr>
          <w:rFonts w:hint="eastAsia"/>
          <w:snapToGrid w:val="0"/>
          <w:color w:val="000000" w:themeColor="text1"/>
          <w:kern w:val="0"/>
          <w:sz w:val="28"/>
          <w:szCs w:val="28"/>
        </w:rPr>
        <w:t>昭通市耀晨甲醇醇油有限公司</w:t>
      </w:r>
      <w:r>
        <w:rPr>
          <w:snapToGrid w:val="0"/>
          <w:color w:val="000000" w:themeColor="text1"/>
          <w:kern w:val="0"/>
          <w:sz w:val="28"/>
          <w:szCs w:val="28"/>
        </w:rPr>
        <w:t>在经营甲醇的特点，按照甲醇的物理、化学性质，辨识该厂</w:t>
      </w:r>
      <w:r>
        <w:rPr>
          <w:color w:val="000000" w:themeColor="text1"/>
          <w:sz w:val="28"/>
        </w:rPr>
        <w:t>在经营过程中潜在的主要危险、有害因素。</w:t>
      </w:r>
    </w:p>
    <w:p>
      <w:pPr>
        <w:pStyle w:val="19"/>
        <w:spacing w:afterLines="100" w:line="500" w:lineRule="exact"/>
        <w:jc w:val="center"/>
        <w:rPr>
          <w:rFonts w:ascii="楷体_GB2312" w:hAnsi="宋体" w:eastAsia="楷体_GB2312"/>
          <w:color w:val="000000" w:themeColor="text1"/>
          <w:kern w:val="3"/>
        </w:rPr>
      </w:pPr>
      <w:bookmarkStart w:id="867" w:name="_Toc29177"/>
      <w:bookmarkStart w:id="868" w:name="_Toc18514"/>
      <w:bookmarkStart w:id="869" w:name="_Toc18813"/>
      <w:bookmarkStart w:id="870" w:name="_Toc2119"/>
      <w:bookmarkStart w:id="871" w:name="_Toc13273_WPSOffice_Level2"/>
      <w:bookmarkStart w:id="872" w:name="_Toc7238"/>
      <w:bookmarkStart w:id="873" w:name="_Toc26332"/>
      <w:bookmarkStart w:id="874" w:name="_Toc22551"/>
      <w:bookmarkStart w:id="875" w:name="_Toc18546"/>
      <w:bookmarkStart w:id="876" w:name="_Toc27345"/>
      <w:bookmarkStart w:id="877" w:name="_Toc1191"/>
      <w:bookmarkStart w:id="878" w:name="_Toc28892"/>
      <w:bookmarkStart w:id="879" w:name="_Toc30478"/>
      <w:bookmarkStart w:id="880" w:name="_Toc208674352"/>
      <w:bookmarkStart w:id="881" w:name="_Toc18616"/>
      <w:bookmarkStart w:id="882" w:name="_Toc208674940"/>
      <w:bookmarkStart w:id="883" w:name="_Toc172174239"/>
      <w:bookmarkStart w:id="884" w:name="_Toc244667385"/>
      <w:bookmarkStart w:id="885" w:name="_Toc12539"/>
      <w:bookmarkStart w:id="886" w:name="_Toc152"/>
      <w:bookmarkStart w:id="887" w:name="_Toc5081"/>
      <w:r>
        <w:rPr>
          <w:rFonts w:hint="eastAsia" w:ascii="楷体_GB2312" w:hAnsi="宋体" w:eastAsia="楷体_GB2312"/>
          <w:color w:val="000000" w:themeColor="text1"/>
          <w:kern w:val="3"/>
        </w:rPr>
        <w:t>3.3危险、有害因素产生的原因</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pPr>
        <w:pStyle w:val="19"/>
        <w:spacing w:afterLines="100" w:line="500" w:lineRule="exact"/>
        <w:rPr>
          <w:rFonts w:ascii="黑体" w:hAnsi="宋体" w:eastAsia="黑体"/>
          <w:color w:val="000000" w:themeColor="text1"/>
          <w:kern w:val="3"/>
          <w:sz w:val="28"/>
          <w:szCs w:val="28"/>
        </w:rPr>
      </w:pPr>
      <w:bookmarkStart w:id="888" w:name="_Toc19033"/>
      <w:bookmarkStart w:id="889" w:name="_Toc28272"/>
      <w:bookmarkStart w:id="890" w:name="_Toc20634"/>
      <w:bookmarkStart w:id="891" w:name="_Toc26330"/>
      <w:bookmarkStart w:id="892" w:name="_Toc32164"/>
      <w:bookmarkStart w:id="893" w:name="_Toc208674353"/>
      <w:bookmarkStart w:id="894" w:name="_Toc18986"/>
      <w:bookmarkStart w:id="895" w:name="_Toc16122"/>
      <w:bookmarkStart w:id="896" w:name="_Toc244667386"/>
      <w:bookmarkStart w:id="897" w:name="_Toc172174240"/>
      <w:bookmarkStart w:id="898" w:name="_Toc7037"/>
      <w:bookmarkStart w:id="899" w:name="_Toc23990"/>
      <w:bookmarkStart w:id="900" w:name="_Toc208674941"/>
      <w:bookmarkStart w:id="901" w:name="_Toc26171"/>
      <w:bookmarkStart w:id="902" w:name="_Toc10425"/>
      <w:r>
        <w:rPr>
          <w:rFonts w:hint="eastAsia" w:ascii="黑体" w:hAnsi="宋体" w:eastAsia="黑体"/>
          <w:color w:val="000000" w:themeColor="text1"/>
          <w:kern w:val="3"/>
          <w:sz w:val="28"/>
          <w:szCs w:val="28"/>
        </w:rPr>
        <w:t>3.3.1运行失控与设备故障</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pPr>
        <w:widowControl/>
        <w:suppressAutoHyphen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运行失控是指装置、容器运行过程中偏离或超过了正常的工艺技术条件,出现危险状态。故障是指设备、元件等在运行过程中由于性能低下而不能实现预期功能的现象。在生产过程中运行失控故障的发生是可能的，故障具有随机性和突发性，故障的发生一般是随机事件。造成故障发生的原因很复杂（如设计、制造、安装、腐蚀、疲劳、检查和检修保养、人员失误、环境及其它系统的影响等），但故障发生的规律是可知的，通过定期检查、维修、保养可使故障在预定期间内得到控制、避免、减少。</w:t>
      </w:r>
    </w:p>
    <w:p>
      <w:pPr>
        <w:pStyle w:val="19"/>
        <w:spacing w:afterLines="100" w:line="500" w:lineRule="exact"/>
        <w:rPr>
          <w:rFonts w:ascii="黑体" w:hAnsi="宋体" w:eastAsia="黑体"/>
          <w:color w:val="000000" w:themeColor="text1"/>
          <w:kern w:val="3"/>
          <w:sz w:val="28"/>
          <w:szCs w:val="28"/>
        </w:rPr>
      </w:pPr>
      <w:bookmarkStart w:id="903" w:name="_Toc3619"/>
      <w:bookmarkStart w:id="904" w:name="_Toc172174241"/>
      <w:bookmarkStart w:id="905" w:name="_Toc28340"/>
      <w:bookmarkStart w:id="906" w:name="_Toc208674942"/>
      <w:bookmarkStart w:id="907" w:name="_Toc4371"/>
      <w:bookmarkStart w:id="908" w:name="_Toc3039"/>
      <w:bookmarkStart w:id="909" w:name="_Toc3484"/>
      <w:bookmarkStart w:id="910" w:name="_Toc30984"/>
      <w:bookmarkStart w:id="911" w:name="_Toc32395"/>
      <w:bookmarkStart w:id="912" w:name="_Toc244667387"/>
      <w:bookmarkStart w:id="913" w:name="_Toc208674354"/>
      <w:bookmarkStart w:id="914" w:name="_Toc22112"/>
      <w:bookmarkStart w:id="915" w:name="_Toc20809"/>
      <w:bookmarkStart w:id="916" w:name="_Toc14883"/>
      <w:bookmarkStart w:id="917" w:name="_Toc18582"/>
      <w:r>
        <w:rPr>
          <w:rFonts w:hint="eastAsia" w:ascii="黑体" w:hAnsi="宋体" w:eastAsia="黑体"/>
          <w:color w:val="000000" w:themeColor="text1"/>
          <w:kern w:val="3"/>
          <w:sz w:val="28"/>
          <w:szCs w:val="28"/>
        </w:rPr>
        <w:t>3.3.2人员失误</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pPr>
        <w:widowControl/>
        <w:suppressAutoHyphen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人员失误是指不安全行为（指职工在劳动过程中违反劳动纪律、操作程序、方法等具有危险性的作法）产生不良后果的行为。人员失误在生产过程中是不可避免的，它具有随机性和偶然性，往往是不可预测的意外行为。影响人员失误的因素很多，但发生人员失误的规律和失误率通过大量的观测、统计分析是可以预测的。</w:t>
      </w:r>
    </w:p>
    <w:p>
      <w:pPr>
        <w:pStyle w:val="19"/>
        <w:spacing w:afterLines="100" w:line="500" w:lineRule="exact"/>
        <w:rPr>
          <w:rFonts w:ascii="黑体" w:hAnsi="宋体" w:eastAsia="黑体"/>
          <w:color w:val="000000" w:themeColor="text1"/>
          <w:kern w:val="3"/>
          <w:sz w:val="28"/>
          <w:szCs w:val="28"/>
        </w:rPr>
      </w:pPr>
      <w:bookmarkStart w:id="918" w:name="_Toc8494"/>
      <w:bookmarkStart w:id="919" w:name="_Toc12453"/>
      <w:bookmarkStart w:id="920" w:name="_Toc208674355"/>
      <w:bookmarkStart w:id="921" w:name="_Toc208674943"/>
      <w:bookmarkStart w:id="922" w:name="_Toc212"/>
      <w:bookmarkStart w:id="923" w:name="_Toc244667388"/>
      <w:bookmarkStart w:id="924" w:name="_Toc16794"/>
      <w:bookmarkStart w:id="925" w:name="_Toc21091"/>
      <w:bookmarkStart w:id="926" w:name="_Toc13113"/>
      <w:bookmarkStart w:id="927" w:name="_Toc18402"/>
      <w:bookmarkStart w:id="928" w:name="_Toc24871"/>
      <w:bookmarkStart w:id="929" w:name="_Toc172174242"/>
      <w:bookmarkStart w:id="930" w:name="_Toc29371"/>
      <w:bookmarkStart w:id="931" w:name="_Toc6941"/>
      <w:bookmarkStart w:id="932" w:name="_Toc6033"/>
      <w:r>
        <w:rPr>
          <w:rFonts w:hint="eastAsia" w:ascii="黑体" w:hAnsi="宋体" w:eastAsia="黑体"/>
          <w:color w:val="000000" w:themeColor="text1"/>
          <w:kern w:val="3"/>
          <w:sz w:val="28"/>
          <w:szCs w:val="28"/>
        </w:rPr>
        <w:t>3.3.3管理缺陷</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pPr>
        <w:widowControl/>
        <w:suppressAutoHyphen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安全管理是为保证及时、有效地实现既定的安全目标，是在预测、分析的基础上进行的计划、组织、协调、检查等工作，是预防故障和人员失误发生的有效手段，因此，管理缺陷是影响运行失控发生的重要因素。</w:t>
      </w:r>
    </w:p>
    <w:p>
      <w:pPr>
        <w:pStyle w:val="19"/>
        <w:spacing w:afterLines="100" w:line="500" w:lineRule="exact"/>
        <w:rPr>
          <w:rFonts w:ascii="黑体" w:hAnsi="宋体" w:eastAsia="黑体"/>
          <w:color w:val="000000" w:themeColor="text1"/>
          <w:kern w:val="3"/>
          <w:sz w:val="28"/>
          <w:szCs w:val="28"/>
        </w:rPr>
      </w:pPr>
      <w:bookmarkStart w:id="933" w:name="_Toc26453"/>
      <w:bookmarkStart w:id="934" w:name="_Toc21510"/>
      <w:bookmarkStart w:id="935" w:name="_Toc6384"/>
      <w:bookmarkStart w:id="936" w:name="_Toc29185"/>
      <w:bookmarkStart w:id="937" w:name="_Toc18851"/>
      <w:bookmarkStart w:id="938" w:name="_Toc21423"/>
      <w:bookmarkStart w:id="939" w:name="_Toc13749"/>
      <w:bookmarkStart w:id="940" w:name="_Toc27644"/>
      <w:bookmarkStart w:id="941" w:name="_Toc31613"/>
      <w:bookmarkStart w:id="942" w:name="_Toc26667"/>
      <w:bookmarkStart w:id="943" w:name="_Toc121"/>
      <w:r>
        <w:rPr>
          <w:rFonts w:hint="eastAsia" w:ascii="黑体" w:hAnsi="宋体" w:eastAsia="黑体"/>
          <w:color w:val="000000" w:themeColor="text1"/>
          <w:kern w:val="3"/>
          <w:sz w:val="28"/>
          <w:szCs w:val="28"/>
        </w:rPr>
        <w:t>3.3.4环境因素</w:t>
      </w:r>
      <w:bookmarkEnd w:id="933"/>
      <w:bookmarkEnd w:id="934"/>
      <w:bookmarkEnd w:id="935"/>
      <w:bookmarkEnd w:id="936"/>
      <w:bookmarkEnd w:id="937"/>
      <w:bookmarkEnd w:id="938"/>
      <w:bookmarkEnd w:id="939"/>
      <w:bookmarkEnd w:id="940"/>
      <w:bookmarkEnd w:id="941"/>
      <w:bookmarkEnd w:id="942"/>
      <w:bookmarkEnd w:id="943"/>
    </w:p>
    <w:p>
      <w:pPr>
        <w:widowControl/>
        <w:suppressAutoHyphen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不良环境的影响包括自然环境和作业环境。作业环境如温度、湿度、通风、照明、噪声、采光等因素的变化均可能导致人的情绪异常而引发误操作，从而引发事故；自然环境如风、雨、雷电、水文地质条件等均可能引发安全事故。</w:t>
      </w:r>
    </w:p>
    <w:p>
      <w:pPr>
        <w:pStyle w:val="19"/>
        <w:spacing w:afterLines="100" w:line="500" w:lineRule="exact"/>
        <w:jc w:val="center"/>
        <w:rPr>
          <w:rFonts w:ascii="楷体_GB2312" w:hAnsi="宋体" w:eastAsia="楷体_GB2312"/>
          <w:color w:val="000000" w:themeColor="text1"/>
          <w:kern w:val="3"/>
        </w:rPr>
      </w:pPr>
      <w:bookmarkStart w:id="944" w:name="_Toc2496"/>
      <w:bookmarkStart w:id="945" w:name="_Toc1368"/>
      <w:bookmarkStart w:id="946" w:name="_Toc28682"/>
      <w:bookmarkStart w:id="947" w:name="_Toc18321"/>
      <w:bookmarkStart w:id="948" w:name="_Toc4978"/>
      <w:bookmarkStart w:id="949" w:name="_Toc25750"/>
      <w:bookmarkStart w:id="950" w:name="_Toc1806"/>
      <w:bookmarkStart w:id="951" w:name="_Toc10243"/>
      <w:bookmarkStart w:id="952" w:name="_Toc17009"/>
      <w:bookmarkStart w:id="953" w:name="_Toc6099_WPSOffice_Level2"/>
      <w:bookmarkStart w:id="954" w:name="_Toc844"/>
      <w:bookmarkStart w:id="955" w:name="_Toc23898"/>
      <w:bookmarkStart w:id="956" w:name="_Toc15531"/>
      <w:bookmarkStart w:id="957" w:name="_Toc29593"/>
      <w:bookmarkStart w:id="958" w:name="_Toc1646"/>
      <w:bookmarkStart w:id="959" w:name="_Toc5559"/>
      <w:bookmarkStart w:id="960" w:name="_Toc19465"/>
      <w:r>
        <w:rPr>
          <w:rFonts w:hint="eastAsia" w:ascii="楷体_GB2312" w:hAnsi="宋体" w:eastAsia="楷体_GB2312"/>
          <w:color w:val="000000" w:themeColor="text1"/>
          <w:kern w:val="3"/>
        </w:rPr>
        <w:t>3.4主要危险、有害物质辨识</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pStyle w:val="19"/>
        <w:spacing w:afterLines="100" w:line="500" w:lineRule="exact"/>
        <w:rPr>
          <w:rFonts w:ascii="黑体" w:hAnsi="宋体" w:eastAsia="黑体"/>
          <w:color w:val="000000" w:themeColor="text1"/>
          <w:kern w:val="3"/>
          <w:sz w:val="28"/>
          <w:szCs w:val="28"/>
        </w:rPr>
      </w:pPr>
      <w:bookmarkStart w:id="961" w:name="_Toc138045002"/>
      <w:bookmarkStart w:id="962" w:name="_Toc112942418"/>
      <w:bookmarkStart w:id="963" w:name="_Toc152562794"/>
      <w:bookmarkStart w:id="964" w:name="_Toc151889060"/>
      <w:bookmarkStart w:id="965" w:name="_Toc184447539"/>
      <w:bookmarkStart w:id="966" w:name="_Toc184373383"/>
      <w:bookmarkStart w:id="967" w:name="_Toc189559318"/>
      <w:bookmarkStart w:id="968" w:name="_Toc149103038"/>
      <w:bookmarkStart w:id="969" w:name="_Toc151888546"/>
      <w:bookmarkStart w:id="970" w:name="_Toc209863614"/>
      <w:bookmarkStart w:id="971" w:name="_Toc231982110"/>
      <w:bookmarkStart w:id="972" w:name="_Toc19315"/>
      <w:bookmarkStart w:id="973" w:name="_Toc233515734"/>
      <w:bookmarkStart w:id="974" w:name="_Toc231835974"/>
      <w:bookmarkStart w:id="975" w:name="_Toc20486"/>
      <w:bookmarkStart w:id="976" w:name="_Toc20459"/>
      <w:bookmarkStart w:id="977" w:name="_Toc13310"/>
      <w:bookmarkStart w:id="978" w:name="_Toc19511"/>
      <w:bookmarkStart w:id="979" w:name="_Toc232084157"/>
      <w:bookmarkStart w:id="980" w:name="_Toc8668"/>
      <w:bookmarkStart w:id="981" w:name="_Toc8427"/>
      <w:bookmarkStart w:id="982" w:name="_Toc231983419"/>
      <w:r>
        <w:rPr>
          <w:rFonts w:hint="eastAsia" w:ascii="黑体" w:hAnsi="宋体" w:eastAsia="黑体"/>
          <w:color w:val="000000" w:themeColor="text1"/>
          <w:kern w:val="3"/>
          <w:sz w:val="28"/>
          <w:szCs w:val="28"/>
        </w:rPr>
        <w:t>3.4.1</w:t>
      </w:r>
      <w:bookmarkEnd w:id="961"/>
      <w:bookmarkEnd w:id="962"/>
      <w:bookmarkEnd w:id="963"/>
      <w:bookmarkEnd w:id="964"/>
      <w:bookmarkEnd w:id="965"/>
      <w:bookmarkEnd w:id="966"/>
      <w:bookmarkEnd w:id="967"/>
      <w:bookmarkEnd w:id="968"/>
      <w:bookmarkEnd w:id="969"/>
      <w:bookmarkEnd w:id="970"/>
      <w:r>
        <w:rPr>
          <w:rFonts w:hint="eastAsia" w:ascii="黑体" w:hAnsi="宋体" w:eastAsia="黑体"/>
          <w:color w:val="000000" w:themeColor="text1"/>
          <w:kern w:val="3"/>
          <w:sz w:val="28"/>
          <w:szCs w:val="28"/>
        </w:rPr>
        <w:t>主要危险、有害物质辨识</w:t>
      </w:r>
      <w:bookmarkEnd w:id="971"/>
      <w:bookmarkEnd w:id="972"/>
      <w:bookmarkEnd w:id="973"/>
      <w:bookmarkEnd w:id="974"/>
      <w:bookmarkEnd w:id="975"/>
      <w:bookmarkEnd w:id="976"/>
      <w:bookmarkEnd w:id="977"/>
      <w:bookmarkEnd w:id="978"/>
      <w:bookmarkEnd w:id="979"/>
      <w:bookmarkEnd w:id="980"/>
      <w:bookmarkEnd w:id="981"/>
      <w:bookmarkEnd w:id="982"/>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该项目涉及的主要危险、有害物质为甲醇。</w:t>
      </w:r>
    </w:p>
    <w:p>
      <w:pPr>
        <w:adjustRightInd w:val="0"/>
        <w:snapToGrid w:val="0"/>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该公司经营储存的甲醇，列在《</w:t>
      </w:r>
      <w:r>
        <w:rPr>
          <w:rFonts w:hint="eastAsia" w:eastAsiaTheme="minorEastAsia"/>
          <w:snapToGrid w:val="0"/>
          <w:color w:val="000000" w:themeColor="text1"/>
          <w:kern w:val="0"/>
          <w:sz w:val="28"/>
          <w:szCs w:val="28"/>
          <w:lang w:eastAsia="zh-CN"/>
        </w:rPr>
        <w:t>危险化学品目录（2015调整版）</w:t>
      </w:r>
      <w:r>
        <w:rPr>
          <w:rFonts w:eastAsiaTheme="minorEastAsia"/>
          <w:snapToGrid w:val="0"/>
          <w:color w:val="000000" w:themeColor="text1"/>
          <w:kern w:val="0"/>
          <w:sz w:val="28"/>
          <w:szCs w:val="28"/>
        </w:rPr>
        <w:t>》、《国家安全监管总局办公厅关于印发</w:t>
      </w:r>
      <w:r>
        <w:rPr>
          <w:rFonts w:hint="eastAsia" w:eastAsiaTheme="minorEastAsia"/>
          <w:snapToGrid w:val="0"/>
          <w:color w:val="000000" w:themeColor="text1"/>
          <w:kern w:val="0"/>
          <w:sz w:val="28"/>
          <w:szCs w:val="28"/>
          <w:lang w:eastAsia="zh-CN"/>
        </w:rPr>
        <w:t>危险化学品目录（2015调整版）</w:t>
      </w:r>
      <w:r>
        <w:rPr>
          <w:rFonts w:eastAsiaTheme="minorEastAsia"/>
          <w:snapToGrid w:val="0"/>
          <w:color w:val="000000" w:themeColor="text1"/>
          <w:kern w:val="0"/>
          <w:sz w:val="28"/>
          <w:szCs w:val="28"/>
        </w:rPr>
        <w:t>实施指南（试行）的通知》（安监总厅管三〔2015〕80号）中；另外，该公司经营储存的甲醇具有易燃液体，类别2；急性毒性-经口，类别3；急性毒性-经皮，类别3；急性毒性-吸入，类别3；特异性靶器官毒性一次接触,类别1。根据《</w:t>
      </w:r>
      <w:r>
        <w:rPr>
          <w:rFonts w:hint="eastAsia" w:eastAsiaTheme="minorEastAsia"/>
          <w:snapToGrid w:val="0"/>
          <w:color w:val="000000" w:themeColor="text1"/>
          <w:kern w:val="0"/>
          <w:sz w:val="28"/>
          <w:szCs w:val="28"/>
          <w:lang w:eastAsia="zh-CN"/>
        </w:rPr>
        <w:t>危险化学品目录（2015调整版）</w:t>
      </w:r>
      <w:r>
        <w:rPr>
          <w:rFonts w:eastAsiaTheme="minorEastAsia"/>
          <w:snapToGrid w:val="0"/>
          <w:color w:val="000000" w:themeColor="text1"/>
          <w:kern w:val="0"/>
          <w:sz w:val="28"/>
          <w:szCs w:val="28"/>
        </w:rPr>
        <w:t>》、《国家安全监管总局办公厅关于印发</w:t>
      </w:r>
      <w:r>
        <w:rPr>
          <w:rFonts w:hint="eastAsia" w:eastAsiaTheme="minorEastAsia"/>
          <w:snapToGrid w:val="0"/>
          <w:color w:val="000000" w:themeColor="text1"/>
          <w:kern w:val="0"/>
          <w:sz w:val="28"/>
          <w:szCs w:val="28"/>
          <w:lang w:eastAsia="zh-CN"/>
        </w:rPr>
        <w:t>危险化学品目录（2015调整版）</w:t>
      </w:r>
      <w:r>
        <w:rPr>
          <w:rFonts w:eastAsiaTheme="minorEastAsia"/>
          <w:snapToGrid w:val="0"/>
          <w:color w:val="000000" w:themeColor="text1"/>
          <w:kern w:val="0"/>
          <w:sz w:val="28"/>
          <w:szCs w:val="28"/>
        </w:rPr>
        <w:t>实施指南（试行）的通知》（安监总厅管三〔2015〕80号）等内容可知：该公司经营储存的燃料甲醇属于危险化学品，需要办理安全行政许可手续。</w:t>
      </w:r>
    </w:p>
    <w:p>
      <w:pPr>
        <w:adjustRightInd w:val="0"/>
        <w:snapToGrid w:val="0"/>
        <w:spacing w:line="500" w:lineRule="exact"/>
        <w:ind w:firstLine="560"/>
        <w:rPr>
          <w:bCs/>
          <w:color w:val="000000" w:themeColor="text1"/>
          <w:sz w:val="28"/>
          <w:szCs w:val="28"/>
        </w:rPr>
      </w:pPr>
      <w:r>
        <w:rPr>
          <w:snapToGrid w:val="0"/>
          <w:color w:val="000000" w:themeColor="text1"/>
          <w:kern w:val="0"/>
          <w:sz w:val="28"/>
          <w:szCs w:val="28"/>
        </w:rPr>
        <w:t>甲醇的</w:t>
      </w:r>
      <w:r>
        <w:rPr>
          <w:bCs/>
          <w:color w:val="000000" w:themeColor="text1"/>
          <w:sz w:val="28"/>
          <w:szCs w:val="28"/>
        </w:rPr>
        <w:t>危险性类别如下表所示：</w:t>
      </w:r>
    </w:p>
    <w:p>
      <w:pPr>
        <w:spacing w:line="500" w:lineRule="exact"/>
        <w:ind w:firstLine="480" w:firstLineChars="200"/>
        <w:jc w:val="center"/>
        <w:rPr>
          <w:color w:val="000000" w:themeColor="text1"/>
          <w:sz w:val="24"/>
        </w:rPr>
      </w:pPr>
      <w:r>
        <w:rPr>
          <w:color w:val="000000" w:themeColor="text1"/>
          <w:sz w:val="24"/>
        </w:rPr>
        <w:t>表3-1甲醇的危险性类别情况表</w:t>
      </w:r>
    </w:p>
    <w:tbl>
      <w:tblPr>
        <w:tblStyle w:val="52"/>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1117"/>
        <w:gridCol w:w="4485"/>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93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b/>
                <w:bCs/>
                <w:color w:val="000000" w:themeColor="text1"/>
                <w:kern w:val="0"/>
                <w:szCs w:val="21"/>
              </w:rPr>
            </w:pPr>
            <w:r>
              <w:rPr>
                <w:b/>
                <w:bCs/>
                <w:color w:val="000000" w:themeColor="text1"/>
                <w:kern w:val="0"/>
                <w:szCs w:val="21"/>
              </w:rPr>
              <w:t>危险化学品名称</w:t>
            </w:r>
          </w:p>
        </w:tc>
        <w:tc>
          <w:tcPr>
            <w:tcW w:w="111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b/>
                <w:bCs/>
                <w:color w:val="000000" w:themeColor="text1"/>
                <w:kern w:val="0"/>
                <w:szCs w:val="21"/>
              </w:rPr>
            </w:pPr>
            <w:r>
              <w:rPr>
                <w:b/>
                <w:bCs/>
                <w:color w:val="000000" w:themeColor="text1"/>
                <w:kern w:val="0"/>
                <w:szCs w:val="21"/>
              </w:rPr>
              <w:t>CAS号</w:t>
            </w:r>
          </w:p>
        </w:tc>
        <w:tc>
          <w:tcPr>
            <w:tcW w:w="448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b/>
                <w:bCs/>
                <w:color w:val="000000" w:themeColor="text1"/>
                <w:kern w:val="0"/>
                <w:szCs w:val="21"/>
              </w:rPr>
            </w:pPr>
            <w:r>
              <w:rPr>
                <w:b/>
                <w:bCs/>
                <w:color w:val="000000" w:themeColor="text1"/>
                <w:kern w:val="0"/>
                <w:szCs w:val="21"/>
              </w:rPr>
              <w:t>危险性类别</w:t>
            </w:r>
          </w:p>
        </w:tc>
        <w:tc>
          <w:tcPr>
            <w:tcW w:w="112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b/>
                <w:bCs/>
                <w:color w:val="000000" w:themeColor="text1"/>
                <w:kern w:val="0"/>
                <w:szCs w:val="21"/>
              </w:rPr>
            </w:pPr>
            <w:r>
              <w:rPr>
                <w:b/>
                <w:bCs/>
                <w:color w:val="000000" w:themeColor="text1"/>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93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color w:val="000000" w:themeColor="text1"/>
                <w:szCs w:val="21"/>
              </w:rPr>
            </w:pPr>
            <w:r>
              <w:rPr>
                <w:color w:val="000000" w:themeColor="text1"/>
                <w:szCs w:val="21"/>
              </w:rPr>
              <w:t>甲醇</w:t>
            </w:r>
          </w:p>
        </w:tc>
        <w:tc>
          <w:tcPr>
            <w:tcW w:w="1117"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color w:val="000000" w:themeColor="text1"/>
                <w:kern w:val="0"/>
                <w:szCs w:val="21"/>
              </w:rPr>
            </w:pPr>
            <w:r>
              <w:rPr>
                <w:color w:val="000000" w:themeColor="text1"/>
                <w:sz w:val="24"/>
              </w:rPr>
              <w:t>67-56-1</w:t>
            </w:r>
          </w:p>
        </w:tc>
        <w:tc>
          <w:tcPr>
            <w:tcW w:w="4485" w:type="dxa"/>
            <w:tcBorders>
              <w:top w:val="single" w:color="auto" w:sz="4" w:space="0"/>
              <w:left w:val="single" w:color="auto" w:sz="4" w:space="0"/>
              <w:bottom w:val="single" w:color="auto" w:sz="4" w:space="0"/>
              <w:right w:val="single" w:color="auto" w:sz="4" w:space="0"/>
            </w:tcBorders>
            <w:vAlign w:val="center"/>
          </w:tcPr>
          <w:p>
            <w:pPr>
              <w:pStyle w:val="48"/>
              <w:spacing w:before="80" w:after="80" w:line="360" w:lineRule="exact"/>
              <w:ind w:firstLine="480"/>
              <w:rPr>
                <w:color w:val="000000" w:themeColor="text1"/>
                <w:szCs w:val="21"/>
              </w:rPr>
            </w:pPr>
            <w:r>
              <w:rPr>
                <w:rStyle w:val="113"/>
                <w:rFonts w:hint="default" w:ascii="Times New Roman" w:eastAsia="宋体"/>
                <w:color w:val="000000" w:themeColor="text1"/>
              </w:rPr>
              <w:t>易燃液体，类别2；急性毒性-经口，类别3；急性毒性-经皮，类别3；急性毒性-吸入，类别3；特异性靶器官毒性一次接触,类别1。</w:t>
            </w:r>
          </w:p>
        </w:tc>
        <w:tc>
          <w:tcPr>
            <w:tcW w:w="112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color w:val="000000" w:themeColor="text1"/>
                <w:kern w:val="0"/>
                <w:szCs w:val="21"/>
              </w:rPr>
            </w:pPr>
          </w:p>
        </w:tc>
      </w:tr>
    </w:tbl>
    <w:p>
      <w:pPr>
        <w:pStyle w:val="19"/>
        <w:spacing w:afterLines="100" w:line="500" w:lineRule="exact"/>
        <w:rPr>
          <w:rFonts w:ascii="黑体" w:hAnsi="宋体" w:eastAsia="黑体"/>
          <w:color w:val="000000" w:themeColor="text1"/>
          <w:kern w:val="3"/>
          <w:sz w:val="28"/>
          <w:szCs w:val="28"/>
        </w:rPr>
      </w:pPr>
      <w:bookmarkStart w:id="983" w:name="_Toc32132"/>
      <w:bookmarkStart w:id="984" w:name="_Toc4363"/>
      <w:bookmarkStart w:id="985" w:name="_Toc24936"/>
      <w:bookmarkStart w:id="986" w:name="_Toc1778"/>
      <w:bookmarkStart w:id="987" w:name="_Toc7353"/>
      <w:bookmarkStart w:id="988" w:name="_Toc244667393"/>
      <w:bookmarkStart w:id="989" w:name="_Toc9335"/>
      <w:bookmarkStart w:id="990" w:name="_Toc32248"/>
      <w:bookmarkStart w:id="991" w:name="_Toc201697591"/>
      <w:bookmarkStart w:id="992" w:name="_Toc445750270"/>
      <w:bookmarkStart w:id="993" w:name="_Toc233515735"/>
      <w:bookmarkStart w:id="994" w:name="_Toc2813"/>
      <w:bookmarkStart w:id="995" w:name="_Toc231982111"/>
      <w:bookmarkStart w:id="996" w:name="_Toc231835975"/>
      <w:bookmarkStart w:id="997" w:name="_Toc231983420"/>
      <w:bookmarkStart w:id="998" w:name="_Toc232084158"/>
      <w:r>
        <w:rPr>
          <w:rFonts w:hint="eastAsia" w:ascii="黑体" w:hAnsi="宋体" w:eastAsia="黑体"/>
          <w:color w:val="000000" w:themeColor="text1"/>
          <w:kern w:val="3"/>
          <w:sz w:val="28"/>
          <w:szCs w:val="28"/>
        </w:rPr>
        <w:t>3.4.2主要危险、有害物质特性详述</w:t>
      </w:r>
      <w:bookmarkEnd w:id="983"/>
      <w:bookmarkEnd w:id="984"/>
      <w:bookmarkEnd w:id="985"/>
      <w:bookmarkEnd w:id="986"/>
      <w:bookmarkEnd w:id="987"/>
      <w:bookmarkEnd w:id="988"/>
      <w:bookmarkEnd w:id="989"/>
      <w:bookmarkEnd w:id="990"/>
      <w:bookmarkEnd w:id="991"/>
    </w:p>
    <w:p>
      <w:pPr>
        <w:adjustRightInd w:val="0"/>
        <w:snapToGrid w:val="0"/>
        <w:spacing w:line="480" w:lineRule="exact"/>
        <w:ind w:firstLine="560" w:firstLineChars="200"/>
        <w:rPr>
          <w:color w:val="000000" w:themeColor="text1"/>
          <w:sz w:val="28"/>
          <w:szCs w:val="28"/>
        </w:rPr>
      </w:pPr>
      <w:r>
        <w:rPr>
          <w:color w:val="000000" w:themeColor="text1"/>
          <w:sz w:val="28"/>
          <w:szCs w:val="28"/>
        </w:rPr>
        <w:t>根据企业提供的《化学品安全技术说明书》，将该项目甲醇的</w:t>
      </w:r>
      <w:r>
        <w:rPr>
          <w:bCs/>
          <w:color w:val="000000" w:themeColor="text1"/>
          <w:sz w:val="28"/>
          <w:szCs w:val="28"/>
        </w:rPr>
        <w:t>理化特性摘录部分列入下表所示：</w:t>
      </w:r>
    </w:p>
    <w:p>
      <w:pPr>
        <w:spacing w:line="500" w:lineRule="exact"/>
        <w:jc w:val="center"/>
        <w:rPr>
          <w:color w:val="000000" w:themeColor="text1"/>
          <w:sz w:val="24"/>
        </w:rPr>
      </w:pPr>
      <w:bookmarkStart w:id="999" w:name="_Toc191728157"/>
      <w:bookmarkStart w:id="1000" w:name="_Toc191729717"/>
      <w:bookmarkStart w:id="1001" w:name="_Toc78305280"/>
      <w:bookmarkStart w:id="1002" w:name="_Toc79583209"/>
      <w:bookmarkStart w:id="1003" w:name="_Toc151353636"/>
      <w:bookmarkStart w:id="1004" w:name="_Toc345765771"/>
      <w:bookmarkStart w:id="1005" w:name="_Toc286493593"/>
      <w:bookmarkStart w:id="1006" w:name="_Toc92762947"/>
      <w:r>
        <w:rPr>
          <w:bCs/>
          <w:color w:val="000000" w:themeColor="text1"/>
          <w:kern w:val="3"/>
          <w:sz w:val="24"/>
        </w:rPr>
        <w:t>表3-2 甲醇理化</w:t>
      </w:r>
      <w:r>
        <w:rPr>
          <w:color w:val="000000" w:themeColor="text1"/>
          <w:sz w:val="24"/>
        </w:rPr>
        <w:t>特性表</w:t>
      </w:r>
    </w:p>
    <w:tbl>
      <w:tblPr>
        <w:tblStyle w:val="52"/>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6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中文名称：</w:t>
            </w:r>
          </w:p>
        </w:tc>
        <w:tc>
          <w:tcPr>
            <w:tcW w:w="6404" w:type="dxa"/>
            <w:vAlign w:val="center"/>
          </w:tcPr>
          <w:p>
            <w:pPr>
              <w:widowControl/>
              <w:spacing w:line="260" w:lineRule="exact"/>
              <w:jc w:val="left"/>
              <w:rPr>
                <w:color w:val="000000" w:themeColor="text1"/>
                <w:kern w:val="0"/>
                <w:szCs w:val="21"/>
              </w:rPr>
            </w:pPr>
            <w:r>
              <w:rPr>
                <w:color w:val="000000" w:themeColor="text1"/>
                <w:kern w:val="0"/>
                <w:szCs w:val="21"/>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英文名称：</w:t>
            </w:r>
          </w:p>
        </w:tc>
        <w:tc>
          <w:tcPr>
            <w:tcW w:w="6404" w:type="dxa"/>
            <w:vAlign w:val="center"/>
          </w:tcPr>
          <w:p>
            <w:pPr>
              <w:widowControl/>
              <w:spacing w:line="260" w:lineRule="exact"/>
              <w:jc w:val="left"/>
              <w:rPr>
                <w:color w:val="000000" w:themeColor="text1"/>
                <w:kern w:val="0"/>
                <w:szCs w:val="21"/>
              </w:rPr>
            </w:pPr>
            <w:r>
              <w:rPr>
                <w:rStyle w:val="114"/>
                <w:rFonts w:hint="default" w:ascii="Times New Roman" w:hAnsi="Times New Roman"/>
                <w:color w:val="000000" w:themeColor="text1"/>
                <w:sz w:val="21"/>
                <w:szCs w:val="21"/>
              </w:rPr>
              <w:t>methanol；methyl alcohol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正确运输名称：</w:t>
            </w:r>
          </w:p>
        </w:tc>
        <w:tc>
          <w:tcPr>
            <w:tcW w:w="6404" w:type="dxa"/>
            <w:vAlign w:val="center"/>
          </w:tcPr>
          <w:p>
            <w:pPr>
              <w:widowControl/>
              <w:spacing w:line="260" w:lineRule="exact"/>
              <w:jc w:val="left"/>
              <w:rPr>
                <w:color w:val="000000" w:themeColor="text1"/>
                <w:kern w:val="0"/>
                <w:szCs w:val="21"/>
              </w:rPr>
            </w:pPr>
            <w:r>
              <w:rPr>
                <w:color w:val="000000" w:themeColor="text1"/>
                <w:kern w:val="0"/>
                <w:szCs w:val="21"/>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外观与性状：</w:t>
            </w:r>
          </w:p>
        </w:tc>
        <w:tc>
          <w:tcPr>
            <w:tcW w:w="6404" w:type="dxa"/>
            <w:vAlign w:val="center"/>
          </w:tcPr>
          <w:p>
            <w:pPr>
              <w:widowControl/>
              <w:spacing w:line="260" w:lineRule="exact"/>
              <w:jc w:val="left"/>
              <w:rPr>
                <w:color w:val="000000" w:themeColor="text1"/>
                <w:kern w:val="0"/>
                <w:szCs w:val="21"/>
              </w:rPr>
            </w:pPr>
            <w:r>
              <w:rPr>
                <w:rStyle w:val="114"/>
                <w:rFonts w:hint="default" w:ascii="Times New Roman" w:hAnsi="Times New Roman"/>
                <w:color w:val="000000" w:themeColor="text1"/>
                <w:sz w:val="21"/>
                <w:szCs w:val="21"/>
              </w:rPr>
              <w:t>无色透明液体，有刺激性气味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相关确定用途：</w:t>
            </w:r>
          </w:p>
        </w:tc>
        <w:tc>
          <w:tcPr>
            <w:tcW w:w="6404" w:type="dxa"/>
            <w:vAlign w:val="center"/>
          </w:tcPr>
          <w:p>
            <w:pPr>
              <w:spacing w:line="360" w:lineRule="exact"/>
              <w:rPr>
                <w:color w:val="000000" w:themeColor="text1"/>
                <w:kern w:val="0"/>
                <w:szCs w:val="21"/>
              </w:rPr>
            </w:pPr>
            <w:r>
              <w:rPr>
                <w:rStyle w:val="114"/>
                <w:rFonts w:hint="default" w:ascii="Times New Roman" w:hAnsi="Times New Roman"/>
                <w:color w:val="000000" w:themeColor="text1"/>
                <w:sz w:val="21"/>
                <w:szCs w:val="21"/>
              </w:rPr>
              <w:t>主要用于制甲醛、香精、染料、医药、火药、防冻剂、溶剂等。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成分：</w:t>
            </w:r>
          </w:p>
        </w:tc>
        <w:tc>
          <w:tcPr>
            <w:tcW w:w="6404" w:type="dxa"/>
            <w:vAlign w:val="center"/>
          </w:tcPr>
          <w:p>
            <w:pPr>
              <w:widowControl/>
              <w:spacing w:line="260" w:lineRule="exact"/>
              <w:jc w:val="left"/>
              <w:rPr>
                <w:color w:val="000000" w:themeColor="text1"/>
                <w:kern w:val="0"/>
                <w:szCs w:val="21"/>
              </w:rPr>
            </w:pPr>
            <w:r>
              <w:rPr>
                <w:color w:val="000000" w:themeColor="text1"/>
                <w:kern w:val="0"/>
                <w:szCs w:val="21"/>
              </w:rPr>
              <w:t>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危险性类别：</w:t>
            </w:r>
          </w:p>
        </w:tc>
        <w:tc>
          <w:tcPr>
            <w:tcW w:w="6404" w:type="dxa"/>
            <w:vAlign w:val="center"/>
          </w:tcPr>
          <w:p>
            <w:pPr>
              <w:widowControl/>
              <w:spacing w:line="280" w:lineRule="exact"/>
              <w:jc w:val="left"/>
              <w:rPr>
                <w:color w:val="000000" w:themeColor="text1"/>
                <w:szCs w:val="21"/>
              </w:rPr>
            </w:pPr>
            <w:r>
              <w:rPr>
                <w:rStyle w:val="113"/>
                <w:rFonts w:hint="default" w:ascii="Times New Roman" w:eastAsia="宋体"/>
                <w:color w:val="000000" w:themeColor="text1"/>
                <w:sz w:val="21"/>
                <w:szCs w:val="21"/>
              </w:rPr>
              <w:t>易燃液体，类别2；急性毒性-经口，类别3；急性毒性-经皮，类别3；急性毒性-吸入，类别3；特异性靶器官毒性-一次接触,类别1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4" w:type="dxa"/>
            <w:gridSpan w:val="2"/>
            <w:vAlign w:val="center"/>
          </w:tcPr>
          <w:p>
            <w:pPr>
              <w:widowControl/>
              <w:spacing w:line="260" w:lineRule="exact"/>
              <w:jc w:val="center"/>
              <w:rPr>
                <w:color w:val="000000" w:themeColor="text1"/>
                <w:kern w:val="0"/>
                <w:szCs w:val="21"/>
              </w:rPr>
            </w:pPr>
            <w:r>
              <w:rPr>
                <w:color w:val="000000" w:themeColor="text1"/>
                <w:kern w:val="0"/>
                <w:szCs w:val="21"/>
              </w:rPr>
              <w:t>健康危害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吸入：</w:t>
            </w:r>
          </w:p>
        </w:tc>
        <w:tc>
          <w:tcPr>
            <w:tcW w:w="6404" w:type="dxa"/>
            <w:vAlign w:val="center"/>
          </w:tcPr>
          <w:p>
            <w:pPr>
              <w:widowControl/>
              <w:spacing w:line="260" w:lineRule="exact"/>
              <w:jc w:val="left"/>
              <w:rPr>
                <w:color w:val="000000" w:themeColor="text1"/>
                <w:kern w:val="0"/>
                <w:szCs w:val="21"/>
              </w:rPr>
            </w:pPr>
            <w:r>
              <w:rPr>
                <w:rStyle w:val="113"/>
                <w:rFonts w:hint="default" w:ascii="Times New Roman" w:eastAsia="宋体"/>
                <w:color w:val="000000" w:themeColor="text1"/>
                <w:sz w:val="21"/>
                <w:szCs w:val="21"/>
              </w:rPr>
              <w:t>将患者转移到空气新鲜处，休息，保持利于呼吸的体位。呼叫中毒控制中心或就医。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食入：</w:t>
            </w:r>
          </w:p>
        </w:tc>
        <w:tc>
          <w:tcPr>
            <w:tcW w:w="6404" w:type="dxa"/>
            <w:vAlign w:val="center"/>
          </w:tcPr>
          <w:p>
            <w:pPr>
              <w:widowControl/>
              <w:spacing w:line="260" w:lineRule="exact"/>
              <w:jc w:val="left"/>
              <w:rPr>
                <w:color w:val="000000" w:themeColor="text1"/>
                <w:kern w:val="0"/>
                <w:szCs w:val="21"/>
              </w:rPr>
            </w:pPr>
            <w:r>
              <w:rPr>
                <w:rStyle w:val="113"/>
                <w:rFonts w:hint="default" w:ascii="Times New Roman" w:eastAsia="宋体"/>
                <w:color w:val="000000" w:themeColor="text1"/>
                <w:sz w:val="21"/>
                <w:szCs w:val="21"/>
              </w:rPr>
              <w:t>立即呼叫中毒控制中心或就医。催吐。2％碳酸氢钠洗胃，硫酸镁导泻。如果需要立即服用解毒药。漱口。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皮肤接触：</w:t>
            </w:r>
          </w:p>
        </w:tc>
        <w:tc>
          <w:tcPr>
            <w:tcW w:w="6404" w:type="dxa"/>
            <w:vAlign w:val="center"/>
          </w:tcPr>
          <w:p>
            <w:pPr>
              <w:pStyle w:val="48"/>
              <w:spacing w:line="360" w:lineRule="exact"/>
              <w:rPr>
                <w:rFonts w:eastAsia="宋体"/>
                <w:color w:val="000000" w:themeColor="text1"/>
                <w:kern w:val="0"/>
                <w:sz w:val="21"/>
                <w:szCs w:val="21"/>
              </w:rPr>
            </w:pPr>
            <w:r>
              <w:rPr>
                <w:rStyle w:val="113"/>
                <w:rFonts w:hint="default" w:ascii="Times New Roman" w:eastAsia="宋体"/>
                <w:color w:val="000000" w:themeColor="text1"/>
                <w:sz w:val="21"/>
                <w:szCs w:val="21"/>
              </w:rPr>
              <w:t>脱去污染的衣着，用肥皂水和清水彻底冲洗皮肤、淋浴。如有不适感，呼叫中毒控制中心或就医。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眼睛：</w:t>
            </w:r>
          </w:p>
        </w:tc>
        <w:tc>
          <w:tcPr>
            <w:tcW w:w="6404" w:type="dxa"/>
            <w:vAlign w:val="center"/>
          </w:tcPr>
          <w:p>
            <w:pPr>
              <w:widowControl/>
              <w:spacing w:line="260" w:lineRule="exact"/>
              <w:jc w:val="left"/>
              <w:rPr>
                <w:color w:val="000000" w:themeColor="text1"/>
                <w:kern w:val="0"/>
                <w:szCs w:val="21"/>
              </w:rPr>
            </w:pPr>
            <w:r>
              <w:rPr>
                <w:rStyle w:val="113"/>
                <w:rFonts w:hint="default" w:ascii="Times New Roman" w:eastAsia="宋体"/>
                <w:color w:val="000000" w:themeColor="text1"/>
                <w:sz w:val="21"/>
                <w:szCs w:val="21"/>
              </w:rPr>
              <w:t>提起眼睑，用流动清水或生理盐水冲洗。如有不适感，就医。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慢性：</w:t>
            </w:r>
          </w:p>
        </w:tc>
        <w:tc>
          <w:tcPr>
            <w:tcW w:w="6404" w:type="dxa"/>
            <w:vAlign w:val="center"/>
          </w:tcPr>
          <w:p>
            <w:pPr>
              <w:pStyle w:val="48"/>
              <w:spacing w:before="80" w:after="80" w:line="400" w:lineRule="atLeast"/>
              <w:rPr>
                <w:rFonts w:eastAsia="宋体"/>
                <w:color w:val="000000" w:themeColor="text1"/>
                <w:kern w:val="0"/>
                <w:sz w:val="21"/>
                <w:szCs w:val="21"/>
              </w:rPr>
            </w:pPr>
            <w:r>
              <w:rPr>
                <w:rStyle w:val="114"/>
                <w:rFonts w:hint="default" w:ascii="Times New Roman" w:hAnsi="Times New Roman"/>
                <w:color w:val="000000" w:themeColor="text1"/>
                <w:sz w:val="21"/>
                <w:szCs w:val="21"/>
              </w:rPr>
              <w:t>主要为神经系统症状，有头晕、无力、眩晕、震颤性麻痹及视神经损害。皮肤反复接触甲醇溶液，可引起局部脱脂和皮炎。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4" w:type="dxa"/>
            <w:gridSpan w:val="2"/>
            <w:vAlign w:val="center"/>
          </w:tcPr>
          <w:p>
            <w:pPr>
              <w:widowControl/>
              <w:spacing w:line="260" w:lineRule="exact"/>
              <w:jc w:val="center"/>
              <w:rPr>
                <w:color w:val="000000" w:themeColor="text1"/>
                <w:kern w:val="0"/>
                <w:szCs w:val="21"/>
              </w:rPr>
            </w:pPr>
            <w:r>
              <w:rPr>
                <w:color w:val="000000" w:themeColor="text1"/>
                <w:kern w:val="0"/>
                <w:szCs w:val="21"/>
              </w:rPr>
              <w:t>理 化 特 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燃烧性：</w:t>
            </w:r>
          </w:p>
        </w:tc>
        <w:tc>
          <w:tcPr>
            <w:tcW w:w="6404" w:type="dxa"/>
            <w:vAlign w:val="center"/>
          </w:tcPr>
          <w:p>
            <w:pPr>
              <w:widowControl/>
              <w:spacing w:line="260" w:lineRule="exact"/>
              <w:jc w:val="left"/>
              <w:rPr>
                <w:color w:val="000000" w:themeColor="text1"/>
                <w:kern w:val="0"/>
                <w:szCs w:val="21"/>
              </w:rPr>
            </w:pPr>
            <w:r>
              <w:rPr>
                <w:color w:val="000000" w:themeColor="text1"/>
                <w:kern w:val="0"/>
                <w:szCs w:val="21"/>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闪点（℃）：</w:t>
            </w:r>
          </w:p>
        </w:tc>
        <w:tc>
          <w:tcPr>
            <w:tcW w:w="6404" w:type="dxa"/>
            <w:vAlign w:val="center"/>
          </w:tcPr>
          <w:p>
            <w:pPr>
              <w:widowControl/>
              <w:spacing w:line="260" w:lineRule="exact"/>
              <w:jc w:val="left"/>
              <w:rPr>
                <w:color w:val="000000" w:themeColor="text1"/>
                <w:kern w:val="0"/>
                <w:szCs w:val="21"/>
              </w:rPr>
            </w:pPr>
            <w:r>
              <w:rPr>
                <w:rStyle w:val="114"/>
                <w:rFonts w:hint="default" w:ascii="Times New Roman" w:hAnsi="Times New Roman"/>
                <w:color w:val="000000" w:themeColor="text1"/>
                <w:sz w:val="21"/>
                <w:szCs w:val="21"/>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爆炸下限（％）：</w:t>
            </w:r>
          </w:p>
        </w:tc>
        <w:tc>
          <w:tcPr>
            <w:tcW w:w="6404" w:type="dxa"/>
            <w:vAlign w:val="center"/>
          </w:tcPr>
          <w:p>
            <w:pPr>
              <w:widowControl/>
              <w:spacing w:line="260" w:lineRule="exact"/>
              <w:jc w:val="left"/>
              <w:rPr>
                <w:color w:val="000000" w:themeColor="text1"/>
                <w:kern w:val="0"/>
                <w:szCs w:val="21"/>
              </w:rPr>
            </w:pPr>
            <w:r>
              <w:rPr>
                <w:rStyle w:val="114"/>
                <w:rFonts w:hint="default" w:ascii="Times New Roman" w:hAnsi="Times New Roman"/>
                <w:color w:val="000000" w:themeColor="text1"/>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自燃温度（℃）：</w:t>
            </w:r>
          </w:p>
        </w:tc>
        <w:tc>
          <w:tcPr>
            <w:tcW w:w="6404" w:type="dxa"/>
            <w:vAlign w:val="center"/>
          </w:tcPr>
          <w:p>
            <w:pPr>
              <w:widowControl/>
              <w:spacing w:line="260" w:lineRule="exact"/>
              <w:jc w:val="left"/>
              <w:rPr>
                <w:color w:val="000000" w:themeColor="text1"/>
                <w:kern w:val="0"/>
                <w:szCs w:val="21"/>
              </w:rPr>
            </w:pPr>
            <w:r>
              <w:rPr>
                <w:rStyle w:val="114"/>
                <w:rFonts w:hint="default" w:ascii="Times New Roman" w:hAnsi="Times New Roman"/>
                <w:color w:val="000000" w:themeColor="text1"/>
                <w:sz w:val="21"/>
                <w:szCs w:val="21"/>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爆炸上限（％）：</w:t>
            </w:r>
          </w:p>
        </w:tc>
        <w:tc>
          <w:tcPr>
            <w:tcW w:w="6404" w:type="dxa"/>
            <w:vAlign w:val="center"/>
          </w:tcPr>
          <w:p>
            <w:pPr>
              <w:widowControl/>
              <w:spacing w:line="260" w:lineRule="exact"/>
              <w:jc w:val="left"/>
              <w:rPr>
                <w:color w:val="000000" w:themeColor="text1"/>
                <w:kern w:val="0"/>
                <w:szCs w:val="21"/>
              </w:rPr>
            </w:pPr>
            <w:r>
              <w:rPr>
                <w:rStyle w:val="114"/>
                <w:rFonts w:hint="default" w:ascii="Times New Roman" w:hAnsi="Times New Roman"/>
                <w:color w:val="000000" w:themeColor="text1"/>
                <w:sz w:val="21"/>
                <w:szCs w:val="21"/>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蒸汽密度（空气=1）：</w:t>
            </w:r>
          </w:p>
        </w:tc>
        <w:tc>
          <w:tcPr>
            <w:tcW w:w="6404" w:type="dxa"/>
            <w:vAlign w:val="center"/>
          </w:tcPr>
          <w:p>
            <w:pPr>
              <w:widowControl/>
              <w:spacing w:line="260" w:lineRule="exact"/>
              <w:jc w:val="left"/>
              <w:rPr>
                <w:color w:val="000000" w:themeColor="text1"/>
                <w:kern w:val="0"/>
                <w:szCs w:val="21"/>
              </w:rPr>
            </w:pPr>
            <w:r>
              <w:rPr>
                <w:rStyle w:val="114"/>
                <w:rFonts w:hint="default" w:ascii="Times New Roman" w:hAnsi="Times New Roman"/>
                <w:color w:val="000000" w:themeColor="text1"/>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相对密度（水=1）：</w:t>
            </w:r>
          </w:p>
        </w:tc>
        <w:tc>
          <w:tcPr>
            <w:tcW w:w="6404" w:type="dxa"/>
            <w:vAlign w:val="center"/>
          </w:tcPr>
          <w:p>
            <w:pPr>
              <w:widowControl/>
              <w:spacing w:line="260" w:lineRule="exact"/>
              <w:jc w:val="left"/>
              <w:rPr>
                <w:color w:val="000000" w:themeColor="text1"/>
                <w:kern w:val="0"/>
                <w:szCs w:val="21"/>
              </w:rPr>
            </w:pPr>
            <w:r>
              <w:rPr>
                <w:rStyle w:val="114"/>
                <w:rFonts w:hint="default" w:ascii="Times New Roman" w:hAnsi="Times New Roman"/>
                <w:color w:val="000000" w:themeColor="text1"/>
                <w:sz w:val="21"/>
                <w:szCs w:val="21"/>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危险特性：</w:t>
            </w:r>
          </w:p>
        </w:tc>
        <w:tc>
          <w:tcPr>
            <w:tcW w:w="6404" w:type="dxa"/>
            <w:vAlign w:val="center"/>
          </w:tcPr>
          <w:p>
            <w:pPr>
              <w:pStyle w:val="48"/>
              <w:spacing w:before="80" w:after="80" w:line="360" w:lineRule="exact"/>
              <w:rPr>
                <w:rFonts w:eastAsia="宋体"/>
                <w:color w:val="000000" w:themeColor="text1"/>
                <w:kern w:val="0"/>
                <w:sz w:val="21"/>
                <w:szCs w:val="21"/>
              </w:rPr>
            </w:pPr>
            <w:r>
              <w:rPr>
                <w:rStyle w:val="114"/>
                <w:rFonts w:hint="default" w:ascii="Times New Roman" w:hAnsi="Times New Roman"/>
                <w:color w:val="000000" w:themeColor="text1"/>
                <w:sz w:val="21"/>
                <w:szCs w:val="21"/>
              </w:rPr>
              <w:t>其蒸气与空气可形成爆炸性混合物，遇明火、高热能引起燃烧爆炸。与氧化剂接触发生化学反应或引起燃烧。在火场中，受热的容器有爆炸危险。蒸气比空气重，沿地面扩散并易积存于低洼处，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禁忌：</w:t>
            </w:r>
          </w:p>
        </w:tc>
        <w:tc>
          <w:tcPr>
            <w:tcW w:w="6404" w:type="dxa"/>
            <w:vAlign w:val="center"/>
          </w:tcPr>
          <w:p>
            <w:pPr>
              <w:pStyle w:val="48"/>
              <w:spacing w:before="80" w:after="80" w:line="360" w:lineRule="exact"/>
              <w:rPr>
                <w:rFonts w:eastAsia="宋体"/>
                <w:color w:val="000000" w:themeColor="text1"/>
                <w:kern w:val="0"/>
                <w:sz w:val="21"/>
                <w:szCs w:val="21"/>
              </w:rPr>
            </w:pPr>
            <w:r>
              <w:rPr>
                <w:rStyle w:val="114"/>
                <w:rFonts w:hint="default" w:ascii="Times New Roman" w:hAnsi="Times New Roman"/>
                <w:color w:val="000000" w:themeColor="text1"/>
                <w:sz w:val="21"/>
                <w:szCs w:val="21"/>
              </w:rPr>
              <w:t>禁止使用易产生火花的机械设备和工具。应与氧化剂、酸类、碱金属等分开存放，切忌混储。储存于阴凉、通风良好的专用库房内。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泄漏应急处理：</w:t>
            </w:r>
          </w:p>
        </w:tc>
        <w:tc>
          <w:tcPr>
            <w:tcW w:w="6404" w:type="dxa"/>
            <w:vAlign w:val="center"/>
          </w:tcPr>
          <w:p>
            <w:pPr>
              <w:widowControl/>
              <w:tabs>
                <w:tab w:val="left" w:pos="2872"/>
              </w:tabs>
              <w:spacing w:line="260" w:lineRule="exact"/>
              <w:jc w:val="left"/>
              <w:rPr>
                <w:color w:val="000000" w:themeColor="text1"/>
                <w:kern w:val="0"/>
                <w:szCs w:val="21"/>
              </w:rPr>
            </w:pPr>
            <w:r>
              <w:rPr>
                <w:color w:val="000000" w:themeColor="text1"/>
                <w:kern w:val="0"/>
                <w:szCs w:val="21"/>
              </w:rPr>
              <w:t>小量泄露：用砂土或其它不燃材料吸收。使用洁净的无火花工具收集吸收材料。</w:t>
            </w:r>
          </w:p>
          <w:p>
            <w:pPr>
              <w:widowControl/>
              <w:tabs>
                <w:tab w:val="left" w:pos="2872"/>
              </w:tabs>
              <w:spacing w:line="260" w:lineRule="exact"/>
              <w:jc w:val="left"/>
              <w:rPr>
                <w:color w:val="000000" w:themeColor="text1"/>
                <w:kern w:val="0"/>
                <w:szCs w:val="21"/>
              </w:rPr>
            </w:pPr>
            <w:r>
              <w:rPr>
                <w:color w:val="000000" w:themeColor="text1"/>
                <w:kern w:val="0"/>
                <w:szCs w:val="21"/>
              </w:rPr>
              <w:t>大量泄露：构筑围堤或挖坑收容。用抗溶性泡沫覆盖，减少蒸发。喷水雾能减少蒸发，但不能降低泄漏物在受限制空间内的易燃性。用防爆泵转移至槽车或专用收集器内。喷雾状水驱散蒸气、稀释液体泄漏物。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操作注意事项：</w:t>
            </w:r>
          </w:p>
        </w:tc>
        <w:tc>
          <w:tcPr>
            <w:tcW w:w="6404" w:type="dxa"/>
          </w:tcPr>
          <w:p>
            <w:pPr>
              <w:widowControl/>
              <w:tabs>
                <w:tab w:val="left" w:pos="2872"/>
              </w:tabs>
              <w:spacing w:line="260" w:lineRule="exact"/>
              <w:jc w:val="left"/>
              <w:rPr>
                <w:color w:val="000000" w:themeColor="text1"/>
                <w:kern w:val="0"/>
                <w:szCs w:val="21"/>
              </w:rPr>
            </w:pPr>
            <w:r>
              <w:rPr>
                <w:color w:val="000000" w:themeColor="text1"/>
                <w:kern w:val="0"/>
                <w:szCs w:val="21"/>
              </w:rPr>
              <w:t>密闭操作，加强通风。操作人员必须经过专门培训，严格遵守操作规程。建议操作人员佩戴过滤式防毒面具（半面罩），戴化学安全防护眼镜，穿防静电工作服，戴橡胶手套。远离火种、热源，工作场所严禁吸烟。使用防爆型的通风系统和设备。防止蒸气泄漏到工作场所空气中。避免与氧化剂、酸类、碱金属接触。灌装时应控制流速，且有接地装置，防止静电积聚。配备相应品种和数量的消防器材及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储存注意事项：</w:t>
            </w:r>
          </w:p>
        </w:tc>
        <w:tc>
          <w:tcPr>
            <w:tcW w:w="6404" w:type="dxa"/>
            <w:vAlign w:val="center"/>
          </w:tcPr>
          <w:p>
            <w:pPr>
              <w:widowControl/>
              <w:tabs>
                <w:tab w:val="left" w:pos="2872"/>
              </w:tabs>
              <w:spacing w:line="260" w:lineRule="exact"/>
              <w:jc w:val="left"/>
              <w:rPr>
                <w:color w:val="000000" w:themeColor="text1"/>
                <w:kern w:val="0"/>
                <w:szCs w:val="21"/>
              </w:rPr>
            </w:pPr>
            <w:r>
              <w:rPr>
                <w:color w:val="000000" w:themeColor="text1"/>
                <w:kern w:val="0"/>
                <w:szCs w:val="21"/>
              </w:rPr>
              <w:t>储存于阴凉、通风良好的专用库房内。远离火种、热源。库温不宜超过37℃，保持容器密封。应与氧化剂、酸类、碱金属等分开存放，切忌混储。采用防爆型照明、通风设施。禁止使用易产生火花的机械设备和工具。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5" w:hRule="atLeast"/>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防护措施：</w:t>
            </w:r>
          </w:p>
        </w:tc>
        <w:tc>
          <w:tcPr>
            <w:tcW w:w="6404" w:type="dxa"/>
            <w:vAlign w:val="center"/>
          </w:tcPr>
          <w:p>
            <w:pPr>
              <w:widowControl/>
              <w:tabs>
                <w:tab w:val="left" w:pos="2872"/>
              </w:tabs>
              <w:spacing w:line="260" w:lineRule="exact"/>
              <w:jc w:val="left"/>
              <w:rPr>
                <w:color w:val="000000" w:themeColor="text1"/>
                <w:kern w:val="0"/>
                <w:szCs w:val="21"/>
              </w:rPr>
            </w:pPr>
            <w:r>
              <w:rPr>
                <w:color w:val="000000" w:themeColor="text1"/>
                <w:kern w:val="0"/>
                <w:szCs w:val="21"/>
              </w:rPr>
              <w:t>职业接触限值</w:t>
            </w:r>
          </w:p>
          <w:p>
            <w:pPr>
              <w:widowControl/>
              <w:tabs>
                <w:tab w:val="left" w:pos="2872"/>
              </w:tabs>
              <w:spacing w:line="260" w:lineRule="exact"/>
              <w:jc w:val="left"/>
              <w:rPr>
                <w:rStyle w:val="114"/>
                <w:rFonts w:hint="default" w:ascii="Times New Roman" w:hAnsi="Times New Roman"/>
                <w:color w:val="000000" w:themeColor="text1"/>
                <w:sz w:val="21"/>
                <w:szCs w:val="21"/>
                <w:lang w:val="de-DE"/>
              </w:rPr>
            </w:pPr>
            <w:r>
              <w:rPr>
                <w:rStyle w:val="113"/>
                <w:rFonts w:hint="default" w:ascii="Times New Roman" w:eastAsia="宋体"/>
                <w:color w:val="000000" w:themeColor="text1"/>
                <w:sz w:val="21"/>
                <w:szCs w:val="21"/>
              </w:rPr>
              <w:t>PC-TWA（mg/m</w:t>
            </w:r>
            <w:r>
              <w:rPr>
                <w:rStyle w:val="113"/>
                <w:rFonts w:hint="default" w:ascii="Times New Roman" w:eastAsia="宋体"/>
                <w:color w:val="000000" w:themeColor="text1"/>
                <w:sz w:val="21"/>
                <w:szCs w:val="21"/>
                <w:vertAlign w:val="superscript"/>
              </w:rPr>
              <w:t>3</w:t>
            </w:r>
            <w:r>
              <w:rPr>
                <w:rStyle w:val="113"/>
                <w:rFonts w:hint="default" w:ascii="Times New Roman" w:eastAsia="宋体"/>
                <w:color w:val="000000" w:themeColor="text1"/>
                <w:sz w:val="21"/>
                <w:szCs w:val="21"/>
              </w:rPr>
              <w:t>）</w:t>
            </w:r>
            <w:r>
              <w:rPr>
                <w:rStyle w:val="114"/>
                <w:rFonts w:hint="default" w:ascii="Times New Roman" w:hAnsi="Times New Roman"/>
                <w:color w:val="000000" w:themeColor="text1"/>
                <w:sz w:val="21"/>
                <w:szCs w:val="21"/>
              </w:rPr>
              <w:t>: 25ppm ；</w:t>
            </w:r>
            <w:r>
              <w:rPr>
                <w:rStyle w:val="113"/>
                <w:rFonts w:hint="default" w:ascii="Times New Roman" w:eastAsia="宋体"/>
                <w:color w:val="000000" w:themeColor="text1"/>
                <w:sz w:val="21"/>
                <w:szCs w:val="21"/>
              </w:rPr>
              <w:t>PC-STEL（mg/m</w:t>
            </w:r>
            <w:r>
              <w:rPr>
                <w:rStyle w:val="113"/>
                <w:rFonts w:hint="default" w:ascii="Times New Roman" w:eastAsia="宋体"/>
                <w:color w:val="000000" w:themeColor="text1"/>
                <w:sz w:val="21"/>
                <w:szCs w:val="21"/>
                <w:vertAlign w:val="superscript"/>
              </w:rPr>
              <w:t>3</w:t>
            </w:r>
            <w:r>
              <w:rPr>
                <w:rStyle w:val="113"/>
                <w:rFonts w:hint="default" w:ascii="Times New Roman" w:eastAsia="宋体"/>
                <w:color w:val="000000" w:themeColor="text1"/>
                <w:sz w:val="21"/>
                <w:szCs w:val="21"/>
              </w:rPr>
              <w:t>）</w:t>
            </w:r>
            <w:r>
              <w:rPr>
                <w:rStyle w:val="114"/>
                <w:rFonts w:hint="default" w:ascii="Times New Roman" w:hAnsi="Times New Roman"/>
                <w:color w:val="000000" w:themeColor="text1"/>
                <w:sz w:val="21"/>
                <w:szCs w:val="21"/>
              </w:rPr>
              <w:t>: 50ppm ；</w:t>
            </w:r>
            <w:r>
              <w:rPr>
                <w:rStyle w:val="113"/>
                <w:rFonts w:hint="default" w:ascii="Times New Roman" w:eastAsia="宋体"/>
                <w:color w:val="000000" w:themeColor="text1"/>
                <w:sz w:val="21"/>
                <w:szCs w:val="21"/>
                <w:lang w:val="de-DE"/>
              </w:rPr>
              <w:t>TLV-TWA(mg/m</w:t>
            </w:r>
            <w:r>
              <w:rPr>
                <w:rStyle w:val="113"/>
                <w:rFonts w:hint="default" w:ascii="Times New Roman" w:eastAsia="宋体"/>
                <w:color w:val="000000" w:themeColor="text1"/>
                <w:sz w:val="21"/>
                <w:szCs w:val="21"/>
                <w:vertAlign w:val="superscript"/>
                <w:lang w:val="de-DE"/>
              </w:rPr>
              <w:t>3</w:t>
            </w:r>
            <w:r>
              <w:rPr>
                <w:rStyle w:val="113"/>
                <w:rFonts w:hint="default" w:ascii="Times New Roman" w:eastAsia="宋体"/>
                <w:color w:val="000000" w:themeColor="text1"/>
                <w:sz w:val="21"/>
                <w:szCs w:val="21"/>
                <w:lang w:val="de-DE"/>
              </w:rPr>
              <w:t>)</w:t>
            </w:r>
            <w:r>
              <w:rPr>
                <w:rStyle w:val="114"/>
                <w:rFonts w:hint="default" w:ascii="Times New Roman" w:hAnsi="Times New Roman"/>
                <w:color w:val="000000" w:themeColor="text1"/>
                <w:sz w:val="21"/>
                <w:szCs w:val="21"/>
                <w:lang w:val="de-DE"/>
              </w:rPr>
              <w:t>: 200ppm</w:t>
            </w:r>
            <w:r>
              <w:rPr>
                <w:rStyle w:val="114"/>
                <w:rFonts w:hint="default" w:ascii="Times New Roman" w:hAnsi="Times New Roman"/>
                <w:color w:val="000000" w:themeColor="text1"/>
                <w:sz w:val="21"/>
                <w:szCs w:val="21"/>
              </w:rPr>
              <w:t xml:space="preserve"> ；</w:t>
            </w:r>
            <w:r>
              <w:rPr>
                <w:rStyle w:val="113"/>
                <w:rFonts w:hint="default" w:ascii="Times New Roman" w:eastAsia="宋体"/>
                <w:color w:val="000000" w:themeColor="text1"/>
                <w:sz w:val="21"/>
                <w:szCs w:val="21"/>
                <w:lang w:val="de-DE"/>
              </w:rPr>
              <w:t>TLV-STEL(mg/m</w:t>
            </w:r>
            <w:r>
              <w:rPr>
                <w:rStyle w:val="113"/>
                <w:rFonts w:hint="default" w:ascii="Times New Roman" w:eastAsia="宋体"/>
                <w:color w:val="000000" w:themeColor="text1"/>
                <w:sz w:val="21"/>
                <w:szCs w:val="21"/>
                <w:vertAlign w:val="superscript"/>
                <w:lang w:val="de-DE"/>
              </w:rPr>
              <w:t>3</w:t>
            </w:r>
            <w:r>
              <w:rPr>
                <w:rStyle w:val="113"/>
                <w:rFonts w:hint="default" w:ascii="Times New Roman" w:eastAsia="宋体"/>
                <w:color w:val="000000" w:themeColor="text1"/>
                <w:sz w:val="21"/>
                <w:szCs w:val="21"/>
                <w:lang w:val="de-DE"/>
              </w:rPr>
              <w:t>)</w:t>
            </w:r>
            <w:r>
              <w:rPr>
                <w:rStyle w:val="114"/>
                <w:rFonts w:hint="default" w:ascii="Times New Roman" w:hAnsi="Times New Roman"/>
                <w:color w:val="000000" w:themeColor="text1"/>
                <w:sz w:val="21"/>
                <w:szCs w:val="21"/>
                <w:lang w:val="de-DE"/>
              </w:rPr>
              <w:t>: 250ppm；</w:t>
            </w:r>
          </w:p>
          <w:p>
            <w:pPr>
              <w:widowControl/>
              <w:tabs>
                <w:tab w:val="left" w:pos="2872"/>
              </w:tabs>
              <w:spacing w:line="260" w:lineRule="exact"/>
              <w:jc w:val="left"/>
              <w:rPr>
                <w:rStyle w:val="114"/>
                <w:rFonts w:hint="default" w:ascii="Times New Roman" w:hAnsi="Times New Roman"/>
                <w:color w:val="000000" w:themeColor="text1"/>
                <w:sz w:val="21"/>
                <w:szCs w:val="21"/>
              </w:rPr>
            </w:pPr>
            <w:r>
              <w:rPr>
                <w:rStyle w:val="113"/>
                <w:rFonts w:hint="default" w:ascii="Times New Roman" w:eastAsia="宋体"/>
                <w:color w:val="000000" w:themeColor="text1"/>
                <w:sz w:val="21"/>
                <w:szCs w:val="21"/>
              </w:rPr>
              <w:t>监测方法：</w:t>
            </w:r>
            <w:r>
              <w:rPr>
                <w:rStyle w:val="114"/>
                <w:rFonts w:hint="default" w:ascii="Times New Roman" w:hAnsi="Times New Roman"/>
                <w:color w:val="000000" w:themeColor="text1"/>
                <w:sz w:val="21"/>
                <w:szCs w:val="21"/>
              </w:rPr>
              <w:t>溶剂解吸-气相色谱法；热解吸-气相色谱法；直接进样-气相色谱法。</w:t>
            </w:r>
          </w:p>
          <w:p>
            <w:pPr>
              <w:widowControl/>
              <w:tabs>
                <w:tab w:val="left" w:pos="2872"/>
              </w:tabs>
              <w:spacing w:line="260" w:lineRule="exact"/>
              <w:jc w:val="left"/>
              <w:rPr>
                <w:color w:val="000000" w:themeColor="text1"/>
                <w:szCs w:val="21"/>
              </w:rPr>
            </w:pPr>
            <w:r>
              <w:rPr>
                <w:rStyle w:val="113"/>
                <w:rFonts w:hint="default" w:ascii="Times New Roman" w:eastAsia="宋体"/>
                <w:color w:val="000000" w:themeColor="text1"/>
                <w:sz w:val="21"/>
                <w:szCs w:val="21"/>
              </w:rPr>
              <w:t>工程控制：</w:t>
            </w:r>
            <w:r>
              <w:rPr>
                <w:rStyle w:val="114"/>
                <w:rFonts w:hint="default" w:ascii="Times New Roman" w:hAnsi="Times New Roman"/>
                <w:color w:val="000000" w:themeColor="text1"/>
                <w:sz w:val="21"/>
                <w:szCs w:val="21"/>
              </w:rPr>
              <w:t>生产过程密闭，加强通风。提供安全淋浴和洗眼设备。</w:t>
            </w:r>
            <w:r>
              <w:rPr>
                <w:color w:val="000000" w:themeColor="text1"/>
                <w:szCs w:val="21"/>
              </w:rPr>
              <w:t>个体防护设备：</w:t>
            </w:r>
          </w:p>
          <w:p>
            <w:pPr>
              <w:widowControl/>
              <w:tabs>
                <w:tab w:val="left" w:pos="2872"/>
              </w:tabs>
              <w:spacing w:line="260" w:lineRule="exact"/>
              <w:jc w:val="left"/>
              <w:rPr>
                <w:rStyle w:val="114"/>
                <w:rFonts w:hint="default" w:ascii="Times New Roman" w:hAnsi="Times New Roman"/>
                <w:color w:val="000000" w:themeColor="text1"/>
                <w:sz w:val="21"/>
                <w:szCs w:val="21"/>
              </w:rPr>
            </w:pPr>
            <w:r>
              <w:rPr>
                <w:color w:val="000000" w:themeColor="text1"/>
                <w:szCs w:val="21"/>
              </w:rPr>
              <w:t>呼吸系统防护：</w:t>
            </w:r>
            <w:r>
              <w:rPr>
                <w:rStyle w:val="114"/>
                <w:rFonts w:hint="default" w:ascii="Times New Roman" w:hAnsi="Times New Roman"/>
                <w:color w:val="000000" w:themeColor="text1"/>
                <w:sz w:val="21"/>
                <w:szCs w:val="21"/>
              </w:rPr>
              <w:t>可能接触其蒸气时，应该佩戴过滤式防毒面具(半面罩)。紧急事态抢救或撤离时，建议佩戴空气呼吸器。</w:t>
            </w:r>
          </w:p>
          <w:p>
            <w:pPr>
              <w:widowControl/>
              <w:tabs>
                <w:tab w:val="left" w:pos="2872"/>
              </w:tabs>
              <w:spacing w:line="260" w:lineRule="exact"/>
              <w:jc w:val="left"/>
              <w:rPr>
                <w:rStyle w:val="114"/>
                <w:rFonts w:hint="default" w:ascii="Times New Roman" w:hAnsi="Times New Roman"/>
                <w:color w:val="000000" w:themeColor="text1"/>
                <w:sz w:val="21"/>
                <w:szCs w:val="21"/>
              </w:rPr>
            </w:pPr>
            <w:r>
              <w:rPr>
                <w:color w:val="000000" w:themeColor="text1"/>
                <w:szCs w:val="21"/>
              </w:rPr>
              <w:t>手防护：</w:t>
            </w:r>
            <w:r>
              <w:rPr>
                <w:rStyle w:val="114"/>
                <w:rFonts w:hint="default" w:ascii="Times New Roman" w:hAnsi="Times New Roman"/>
                <w:color w:val="000000" w:themeColor="text1"/>
                <w:sz w:val="21"/>
                <w:szCs w:val="21"/>
              </w:rPr>
              <w:t>戴橡胶手套。</w:t>
            </w:r>
          </w:p>
          <w:p>
            <w:pPr>
              <w:widowControl/>
              <w:tabs>
                <w:tab w:val="left" w:pos="2872"/>
              </w:tabs>
              <w:spacing w:line="260" w:lineRule="exact"/>
              <w:jc w:val="left"/>
              <w:rPr>
                <w:color w:val="000000" w:themeColor="text1"/>
                <w:szCs w:val="21"/>
              </w:rPr>
            </w:pPr>
            <w:r>
              <w:rPr>
                <w:color w:val="000000" w:themeColor="text1"/>
                <w:szCs w:val="21"/>
              </w:rPr>
              <w:t>眼睛防护：戴化学安全防护眼镜。</w:t>
            </w:r>
          </w:p>
          <w:p>
            <w:pPr>
              <w:widowControl/>
              <w:tabs>
                <w:tab w:val="left" w:pos="2872"/>
              </w:tabs>
              <w:spacing w:line="260" w:lineRule="exact"/>
              <w:jc w:val="left"/>
              <w:rPr>
                <w:rStyle w:val="114"/>
                <w:rFonts w:hint="default" w:ascii="Times New Roman" w:hAnsi="Times New Roman"/>
                <w:color w:val="000000" w:themeColor="text1"/>
                <w:sz w:val="21"/>
                <w:szCs w:val="21"/>
              </w:rPr>
            </w:pPr>
            <w:r>
              <w:rPr>
                <w:color w:val="000000" w:themeColor="text1"/>
                <w:szCs w:val="21"/>
              </w:rPr>
              <w:t>身体防护：</w:t>
            </w:r>
            <w:r>
              <w:rPr>
                <w:rStyle w:val="114"/>
                <w:rFonts w:hint="default" w:ascii="Times New Roman" w:hAnsi="Times New Roman"/>
                <w:color w:val="000000" w:themeColor="text1"/>
                <w:sz w:val="21"/>
                <w:szCs w:val="21"/>
              </w:rPr>
              <w:t>穿防静电工作服。</w:t>
            </w:r>
          </w:p>
          <w:p>
            <w:pPr>
              <w:widowControl/>
              <w:tabs>
                <w:tab w:val="left" w:pos="2872"/>
              </w:tabs>
              <w:spacing w:line="260" w:lineRule="exact"/>
              <w:jc w:val="left"/>
              <w:rPr>
                <w:color w:val="000000" w:themeColor="text1"/>
                <w:szCs w:val="21"/>
              </w:rPr>
            </w:pPr>
            <w:r>
              <w:rPr>
                <w:color w:val="000000" w:themeColor="text1"/>
                <w:szCs w:val="21"/>
              </w:rPr>
              <w:t>其他防护：</w:t>
            </w:r>
            <w:r>
              <w:rPr>
                <w:rStyle w:val="114"/>
                <w:rFonts w:hint="default" w:ascii="Times New Roman" w:hAnsi="Times New Roman"/>
                <w:color w:val="000000" w:themeColor="text1"/>
                <w:sz w:val="21"/>
                <w:szCs w:val="21"/>
              </w:rPr>
              <w:t>工作现场禁止吸烟、进食和饮水。工作完毕，淋浴更衣。实行就业前和定期的体检。</w:t>
            </w:r>
          </w:p>
          <w:p>
            <w:pPr>
              <w:widowControl/>
              <w:tabs>
                <w:tab w:val="left" w:pos="2872"/>
              </w:tabs>
              <w:spacing w:line="260" w:lineRule="exact"/>
              <w:jc w:val="left"/>
              <w:rPr>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毒性、刺激性：</w:t>
            </w:r>
          </w:p>
        </w:tc>
        <w:tc>
          <w:tcPr>
            <w:tcW w:w="6404" w:type="dxa"/>
            <w:vAlign w:val="center"/>
          </w:tcPr>
          <w:p>
            <w:pPr>
              <w:widowControl/>
              <w:spacing w:line="260" w:lineRule="exact"/>
              <w:jc w:val="left"/>
              <w:rPr>
                <w:color w:val="000000" w:themeColor="text1"/>
                <w:kern w:val="0"/>
                <w:szCs w:val="21"/>
              </w:rPr>
            </w:pPr>
            <w:r>
              <w:rPr>
                <w:rStyle w:val="114"/>
                <w:rFonts w:hint="default" w:ascii="Times New Roman" w:hAnsi="Times New Roman"/>
                <w:color w:val="000000" w:themeColor="text1"/>
                <w:sz w:val="21"/>
                <w:szCs w:val="21"/>
              </w:rPr>
              <w:t>属中等毒类、具有刺激性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pPr>
              <w:widowControl/>
              <w:spacing w:line="260" w:lineRule="exact"/>
              <w:jc w:val="left"/>
              <w:rPr>
                <w:color w:val="000000" w:themeColor="text1"/>
                <w:kern w:val="0"/>
                <w:szCs w:val="21"/>
              </w:rPr>
            </w:pPr>
            <w:r>
              <w:rPr>
                <w:color w:val="000000" w:themeColor="text1"/>
                <w:kern w:val="0"/>
                <w:szCs w:val="21"/>
              </w:rPr>
              <w:t>环境影响：</w:t>
            </w:r>
          </w:p>
        </w:tc>
        <w:tc>
          <w:tcPr>
            <w:tcW w:w="6404" w:type="dxa"/>
            <w:vAlign w:val="center"/>
          </w:tcPr>
          <w:p>
            <w:pPr>
              <w:widowControl/>
              <w:spacing w:line="260" w:lineRule="exact"/>
              <w:jc w:val="left"/>
              <w:rPr>
                <w:color w:val="000000" w:themeColor="text1"/>
                <w:kern w:val="0"/>
                <w:szCs w:val="21"/>
              </w:rPr>
            </w:pPr>
            <w:r>
              <w:rPr>
                <w:color w:val="000000" w:themeColor="text1"/>
                <w:kern w:val="0"/>
                <w:szCs w:val="21"/>
              </w:rPr>
              <w:t>对环境有害。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Merge w:val="restart"/>
            <w:vAlign w:val="center"/>
          </w:tcPr>
          <w:p>
            <w:pPr>
              <w:spacing w:line="260" w:lineRule="exact"/>
              <w:jc w:val="left"/>
              <w:rPr>
                <w:color w:val="000000" w:themeColor="text1"/>
                <w:kern w:val="0"/>
                <w:szCs w:val="21"/>
              </w:rPr>
            </w:pPr>
            <w:r>
              <w:rPr>
                <w:color w:val="000000" w:themeColor="text1"/>
                <w:kern w:val="0"/>
                <w:szCs w:val="21"/>
              </w:rPr>
              <w:t>陆上运输：</w:t>
            </w:r>
          </w:p>
        </w:tc>
        <w:tc>
          <w:tcPr>
            <w:tcW w:w="6404" w:type="dxa"/>
            <w:vAlign w:val="center"/>
          </w:tcPr>
          <w:p>
            <w:pPr>
              <w:widowControl/>
              <w:spacing w:line="260" w:lineRule="exact"/>
              <w:jc w:val="left"/>
              <w:rPr>
                <w:color w:val="000000" w:themeColor="text1"/>
                <w:kern w:val="0"/>
                <w:szCs w:val="21"/>
              </w:rPr>
            </w:pPr>
            <w:r>
              <w:rPr>
                <w:color w:val="000000" w:themeColor="text1"/>
                <w:kern w:val="0"/>
                <w:szCs w:val="21"/>
              </w:rPr>
              <w:t>UN号：1230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Merge w:val="continue"/>
            <w:vAlign w:val="center"/>
          </w:tcPr>
          <w:p>
            <w:pPr>
              <w:spacing w:line="260" w:lineRule="exact"/>
              <w:jc w:val="left"/>
              <w:rPr>
                <w:color w:val="000000" w:themeColor="text1"/>
                <w:kern w:val="0"/>
                <w:szCs w:val="21"/>
              </w:rPr>
            </w:pPr>
          </w:p>
        </w:tc>
        <w:tc>
          <w:tcPr>
            <w:tcW w:w="6404" w:type="dxa"/>
            <w:vAlign w:val="center"/>
          </w:tcPr>
          <w:p>
            <w:pPr>
              <w:pStyle w:val="48"/>
              <w:spacing w:before="80" w:after="80" w:line="400" w:lineRule="exact"/>
              <w:ind w:left="1200" w:hanging="1200"/>
              <w:rPr>
                <w:rStyle w:val="114"/>
                <w:rFonts w:hint="default" w:ascii="Times New Roman" w:hAnsi="Times New Roman"/>
                <w:color w:val="000000" w:themeColor="text1"/>
                <w:sz w:val="21"/>
                <w:szCs w:val="21"/>
              </w:rPr>
            </w:pPr>
            <w:r>
              <w:rPr>
                <w:rFonts w:eastAsia="宋体"/>
                <w:color w:val="000000" w:themeColor="text1"/>
                <w:kern w:val="0"/>
                <w:sz w:val="21"/>
                <w:szCs w:val="21"/>
              </w:rPr>
              <w:t>包装标志：</w:t>
            </w:r>
            <w:r>
              <w:rPr>
                <w:rStyle w:val="114"/>
                <w:rFonts w:hint="default" w:ascii="Times New Roman" w:hAnsi="Times New Roman"/>
                <w:color w:val="000000" w:themeColor="text1"/>
                <w:sz w:val="21"/>
                <w:szCs w:val="21"/>
              </w:rPr>
              <w:t>易燃液体；毒性物质</w:t>
            </w:r>
          </w:p>
          <w:p>
            <w:pPr>
              <w:widowControl/>
              <w:spacing w:line="260" w:lineRule="exact"/>
              <w:jc w:val="left"/>
              <w:rPr>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Merge w:val="continue"/>
            <w:vAlign w:val="center"/>
          </w:tcPr>
          <w:p>
            <w:pPr>
              <w:widowControl/>
              <w:spacing w:line="260" w:lineRule="exact"/>
              <w:jc w:val="left"/>
              <w:rPr>
                <w:color w:val="000000" w:themeColor="text1"/>
                <w:kern w:val="0"/>
                <w:szCs w:val="21"/>
              </w:rPr>
            </w:pPr>
          </w:p>
        </w:tc>
        <w:tc>
          <w:tcPr>
            <w:tcW w:w="6404" w:type="dxa"/>
            <w:vAlign w:val="center"/>
          </w:tcPr>
          <w:p>
            <w:pPr>
              <w:widowControl/>
              <w:spacing w:line="260" w:lineRule="exact"/>
              <w:jc w:val="left"/>
              <w:rPr>
                <w:color w:val="000000" w:themeColor="text1"/>
                <w:kern w:val="0"/>
                <w:szCs w:val="21"/>
              </w:rPr>
            </w:pPr>
            <w:r>
              <w:rPr>
                <w:color w:val="000000" w:themeColor="text1"/>
                <w:kern w:val="0"/>
                <w:szCs w:val="21"/>
              </w:rPr>
              <w:t>包装类别：II</w:t>
            </w:r>
          </w:p>
        </w:tc>
      </w:tr>
      <w:bookmarkEnd w:id="999"/>
      <w:bookmarkEnd w:id="1000"/>
      <w:bookmarkEnd w:id="1001"/>
      <w:bookmarkEnd w:id="1002"/>
      <w:bookmarkEnd w:id="1003"/>
      <w:bookmarkEnd w:id="1004"/>
      <w:bookmarkEnd w:id="1005"/>
      <w:bookmarkEnd w:id="1006"/>
    </w:tbl>
    <w:p>
      <w:pPr>
        <w:pStyle w:val="19"/>
        <w:spacing w:afterLines="100" w:line="500" w:lineRule="exact"/>
        <w:rPr>
          <w:rFonts w:ascii="黑体" w:hAnsi="宋体" w:eastAsia="黑体"/>
          <w:color w:val="000000" w:themeColor="text1"/>
          <w:kern w:val="3"/>
          <w:sz w:val="28"/>
          <w:szCs w:val="28"/>
        </w:rPr>
      </w:pPr>
      <w:bookmarkStart w:id="1007" w:name="_Toc9401"/>
      <w:bookmarkStart w:id="1008" w:name="_Toc9215"/>
      <w:bookmarkStart w:id="1009" w:name="_Toc29395"/>
      <w:bookmarkStart w:id="1010" w:name="_Toc7819"/>
      <w:bookmarkStart w:id="1011" w:name="_Toc2235"/>
      <w:bookmarkStart w:id="1012" w:name="_Toc7780"/>
      <w:r>
        <w:rPr>
          <w:rFonts w:hint="eastAsia" w:ascii="黑体" w:hAnsi="宋体" w:eastAsia="黑体"/>
          <w:color w:val="000000" w:themeColor="text1"/>
          <w:kern w:val="3"/>
          <w:sz w:val="28"/>
          <w:szCs w:val="28"/>
        </w:rPr>
        <w:t>3.4.3 剧毒化学品、监控化学品、易制毒化学品、易制爆危险化学品、高毒物品、重点监管及特别管控的危险化学品辨识</w:t>
      </w:r>
      <w:bookmarkEnd w:id="992"/>
      <w:bookmarkEnd w:id="1007"/>
      <w:bookmarkEnd w:id="1008"/>
      <w:bookmarkEnd w:id="1009"/>
      <w:bookmarkEnd w:id="1010"/>
      <w:bookmarkEnd w:id="1011"/>
      <w:bookmarkEnd w:id="1012"/>
    </w:p>
    <w:p>
      <w:pPr>
        <w:spacing w:line="500" w:lineRule="exact"/>
        <w:ind w:firstLine="560" w:firstLineChars="200"/>
        <w:rPr>
          <w:color w:val="000000" w:themeColor="text1"/>
          <w:sz w:val="28"/>
          <w:szCs w:val="28"/>
        </w:rPr>
      </w:pPr>
      <w:r>
        <w:rPr>
          <w:color w:val="000000" w:themeColor="text1"/>
          <w:sz w:val="28"/>
          <w:szCs w:val="28"/>
        </w:rPr>
        <w:t>1</w:t>
      </w:r>
      <w:r>
        <w:rPr>
          <w:rFonts w:hint="eastAsia"/>
          <w:color w:val="000000" w:themeColor="text1"/>
          <w:sz w:val="28"/>
          <w:szCs w:val="28"/>
        </w:rPr>
        <w:t>.</w:t>
      </w:r>
      <w:r>
        <w:rPr>
          <w:color w:val="000000" w:themeColor="text1"/>
          <w:sz w:val="28"/>
          <w:szCs w:val="28"/>
        </w:rPr>
        <w:t>根据</w:t>
      </w:r>
      <w:r>
        <w:rPr>
          <w:color w:val="000000" w:themeColor="text1"/>
          <w:sz w:val="28"/>
        </w:rPr>
        <w:t>《</w:t>
      </w:r>
      <w:r>
        <w:rPr>
          <w:rFonts w:hint="eastAsia"/>
          <w:color w:val="000000" w:themeColor="text1"/>
          <w:sz w:val="28"/>
          <w:lang w:eastAsia="zh-CN"/>
        </w:rPr>
        <w:t>危险化学品目录（2015调整版）</w:t>
      </w:r>
      <w:r>
        <w:rPr>
          <w:color w:val="000000" w:themeColor="text1"/>
          <w:sz w:val="28"/>
        </w:rPr>
        <w:t>》以及</w:t>
      </w:r>
      <w:r>
        <w:rPr>
          <w:color w:val="000000" w:themeColor="text1"/>
          <w:sz w:val="28"/>
          <w:szCs w:val="28"/>
        </w:rPr>
        <w:t>《国家安全监管总局办公厅关于印发</w:t>
      </w:r>
      <w:r>
        <w:rPr>
          <w:rFonts w:hint="eastAsia"/>
          <w:color w:val="000000" w:themeColor="text1"/>
          <w:sz w:val="28"/>
          <w:szCs w:val="28"/>
          <w:lang w:eastAsia="zh-CN"/>
        </w:rPr>
        <w:t>危险化学品目录（2015调整版）</w:t>
      </w:r>
      <w:r>
        <w:rPr>
          <w:color w:val="000000" w:themeColor="text1"/>
          <w:sz w:val="28"/>
          <w:szCs w:val="28"/>
        </w:rPr>
        <w:t>实施指南（试行）的通知》（安监总厅管三〔2015〕80号）的相关规定，该公司经营储存的甲醇不属于剧毒化学品。</w:t>
      </w:r>
    </w:p>
    <w:p>
      <w:pPr>
        <w:adjustRightInd w:val="0"/>
        <w:snapToGrid w:val="0"/>
        <w:spacing w:line="500" w:lineRule="exact"/>
        <w:ind w:firstLine="560" w:firstLineChars="200"/>
        <w:rPr>
          <w:color w:val="000000" w:themeColor="text1"/>
          <w:sz w:val="28"/>
          <w:szCs w:val="28"/>
        </w:rPr>
      </w:pPr>
      <w:r>
        <w:rPr>
          <w:color w:val="000000" w:themeColor="text1"/>
          <w:sz w:val="28"/>
          <w:szCs w:val="28"/>
        </w:rPr>
        <w:t>2</w:t>
      </w:r>
      <w:r>
        <w:rPr>
          <w:rFonts w:hint="eastAsia"/>
          <w:color w:val="000000" w:themeColor="text1"/>
          <w:sz w:val="28"/>
          <w:szCs w:val="28"/>
        </w:rPr>
        <w:t>.</w:t>
      </w:r>
      <w:r>
        <w:rPr>
          <w:color w:val="000000" w:themeColor="text1"/>
          <w:sz w:val="28"/>
          <w:szCs w:val="28"/>
        </w:rPr>
        <w:t>根据</w:t>
      </w:r>
      <w:r>
        <w:rPr>
          <w:color w:val="000000" w:themeColor="text1"/>
          <w:sz w:val="28"/>
          <w:szCs w:val="28"/>
          <w:lang w:val="zh-CN"/>
        </w:rPr>
        <w:t>《中华人民共和国监控化学品管理条例》（</w:t>
      </w:r>
      <w:r>
        <w:rPr>
          <w:color w:val="000000" w:themeColor="text1"/>
          <w:sz w:val="28"/>
          <w:szCs w:val="28"/>
        </w:rPr>
        <w:t>1995年12月27日中华人民共和国国务院令第190号发布 根据2011年1月8日《国务院关于废止和修改部分行政法规的决定》修订</w:t>
      </w:r>
      <w:r>
        <w:rPr>
          <w:color w:val="000000" w:themeColor="text1"/>
          <w:sz w:val="28"/>
          <w:szCs w:val="28"/>
          <w:lang w:val="zh-CN"/>
        </w:rPr>
        <w:t>）</w:t>
      </w:r>
      <w:r>
        <w:rPr>
          <w:color w:val="000000" w:themeColor="text1"/>
          <w:sz w:val="28"/>
          <w:szCs w:val="28"/>
        </w:rPr>
        <w:t>的相关规定，该公司经营储存的甲醇不属于监控化学品。</w:t>
      </w:r>
    </w:p>
    <w:p>
      <w:pPr>
        <w:adjustRightInd w:val="0"/>
        <w:snapToGrid w:val="0"/>
        <w:spacing w:line="500" w:lineRule="exact"/>
        <w:ind w:firstLine="560" w:firstLineChars="200"/>
        <w:rPr>
          <w:color w:val="000000" w:themeColor="text1"/>
          <w:sz w:val="28"/>
          <w:szCs w:val="28"/>
        </w:rPr>
      </w:pPr>
      <w:r>
        <w:rPr>
          <w:color w:val="000000" w:themeColor="text1"/>
          <w:sz w:val="28"/>
          <w:szCs w:val="28"/>
        </w:rPr>
        <w:t>3</w:t>
      </w:r>
      <w:r>
        <w:rPr>
          <w:rFonts w:hint="eastAsia"/>
          <w:color w:val="000000" w:themeColor="text1"/>
          <w:sz w:val="28"/>
          <w:szCs w:val="28"/>
        </w:rPr>
        <w:t>.</w:t>
      </w:r>
      <w:r>
        <w:rPr>
          <w:color w:val="000000" w:themeColor="text1"/>
          <w:sz w:val="28"/>
          <w:szCs w:val="28"/>
        </w:rPr>
        <w:t>根据《易制毒化学品管理条例》（国务院令第445号，根据2018年9月18日公布的国务院令第703号《国务院关于修改部分行政法规的决定》</w:t>
      </w:r>
      <w:r>
        <w:rPr>
          <w:color w:val="000000" w:themeColor="text1"/>
          <w:sz w:val="28"/>
          <w:szCs w:val="28"/>
          <w:vertAlign w:val="superscript"/>
        </w:rPr>
        <w:t> </w:t>
      </w:r>
      <w:r>
        <w:rPr>
          <w:color w:val="000000" w:themeColor="text1"/>
          <w:sz w:val="28"/>
          <w:szCs w:val="28"/>
        </w:rPr>
        <w:t>第六条修改）、《</w:t>
      </w:r>
      <w:r>
        <w:rPr>
          <w:bCs/>
          <w:color w:val="000000" w:themeColor="text1"/>
          <w:sz w:val="28"/>
          <w:szCs w:val="28"/>
        </w:rPr>
        <w:t>国务院办公厅关于同意将 N-苯乙基-4-哌啶酮、4-苯胺基-N-苯乙基哌啶、 N-甲基-1-苯基-1-氯-2-丙胺、溴素、1-苯基-1-丙酮列入易制毒化学品品种目录的函</w:t>
      </w:r>
      <w:r>
        <w:rPr>
          <w:color w:val="000000" w:themeColor="text1"/>
          <w:sz w:val="28"/>
          <w:szCs w:val="28"/>
        </w:rPr>
        <w:t>》（</w:t>
      </w:r>
      <w:r>
        <w:rPr>
          <w:bCs/>
          <w:color w:val="000000" w:themeColor="text1"/>
          <w:sz w:val="28"/>
          <w:szCs w:val="28"/>
        </w:rPr>
        <w:t>国办函〔2017〕120号</w:t>
      </w:r>
      <w:r>
        <w:rPr>
          <w:color w:val="000000" w:themeColor="text1"/>
          <w:sz w:val="28"/>
          <w:szCs w:val="28"/>
        </w:rPr>
        <w:t>）</w:t>
      </w:r>
      <w:r>
        <w:rPr>
          <w:color w:val="000000" w:themeColor="text1"/>
          <w:sz w:val="28"/>
          <w:szCs w:val="28"/>
          <w:lang w:val="zh-CN"/>
        </w:rPr>
        <w:t>的规定</w:t>
      </w:r>
      <w:r>
        <w:rPr>
          <w:snapToGrid w:val="0"/>
          <w:color w:val="000000" w:themeColor="text1"/>
          <w:kern w:val="0"/>
          <w:sz w:val="28"/>
          <w:szCs w:val="28"/>
        </w:rPr>
        <w:t>判别，</w:t>
      </w:r>
      <w:r>
        <w:rPr>
          <w:color w:val="000000" w:themeColor="text1"/>
          <w:sz w:val="28"/>
          <w:szCs w:val="28"/>
        </w:rPr>
        <w:t>该公司经营储存的甲醇不属于易制毒化学。</w:t>
      </w:r>
    </w:p>
    <w:p>
      <w:pPr>
        <w:tabs>
          <w:tab w:val="left" w:pos="5670"/>
        </w:tabs>
        <w:adjustRightInd w:val="0"/>
        <w:snapToGrid w:val="0"/>
        <w:spacing w:line="500" w:lineRule="exact"/>
        <w:ind w:firstLine="560" w:firstLineChars="200"/>
        <w:rPr>
          <w:color w:val="000000" w:themeColor="text1"/>
          <w:sz w:val="28"/>
          <w:szCs w:val="28"/>
        </w:rPr>
      </w:pPr>
      <w:r>
        <w:rPr>
          <w:color w:val="000000" w:themeColor="text1"/>
          <w:sz w:val="28"/>
          <w:szCs w:val="28"/>
        </w:rPr>
        <w:t>4</w:t>
      </w:r>
      <w:r>
        <w:rPr>
          <w:rFonts w:hint="eastAsia"/>
          <w:color w:val="000000" w:themeColor="text1"/>
          <w:sz w:val="28"/>
          <w:szCs w:val="28"/>
        </w:rPr>
        <w:t>.</w:t>
      </w:r>
      <w:r>
        <w:rPr>
          <w:color w:val="000000" w:themeColor="text1"/>
          <w:sz w:val="28"/>
          <w:szCs w:val="28"/>
        </w:rPr>
        <w:t>根据《易制爆危险化学品名录（2017年版）》（中华人民共和国公安部公告）的规定，该公司经营储存的甲醇不属于易制爆危险化学品。</w:t>
      </w:r>
    </w:p>
    <w:p>
      <w:pPr>
        <w:adjustRightInd w:val="0"/>
        <w:snapToGrid w:val="0"/>
        <w:spacing w:line="500" w:lineRule="exact"/>
        <w:ind w:firstLine="560" w:firstLineChars="200"/>
        <w:rPr>
          <w:color w:val="000000" w:themeColor="text1"/>
          <w:sz w:val="28"/>
        </w:rPr>
      </w:pPr>
      <w:r>
        <w:rPr>
          <w:color w:val="000000" w:themeColor="text1"/>
          <w:sz w:val="28"/>
          <w:szCs w:val="28"/>
        </w:rPr>
        <w:t>5</w:t>
      </w:r>
      <w:r>
        <w:rPr>
          <w:rFonts w:hint="eastAsia"/>
          <w:color w:val="000000" w:themeColor="text1"/>
          <w:sz w:val="28"/>
          <w:szCs w:val="28"/>
        </w:rPr>
        <w:t>.</w:t>
      </w:r>
      <w:r>
        <w:rPr>
          <w:color w:val="000000" w:themeColor="text1"/>
          <w:sz w:val="28"/>
          <w:szCs w:val="28"/>
        </w:rPr>
        <w:t>根据《高毒物品目录》（卫法监发[2003]142号）的规定，该公司经营储存的甲醇不属于高毒物品。</w:t>
      </w:r>
    </w:p>
    <w:p>
      <w:pPr>
        <w:adjustRightInd w:val="0"/>
        <w:snapToGrid w:val="0"/>
        <w:spacing w:line="500" w:lineRule="exact"/>
        <w:ind w:firstLine="560" w:firstLineChars="200"/>
        <w:rPr>
          <w:color w:val="000000" w:themeColor="text1"/>
          <w:sz w:val="28"/>
          <w:szCs w:val="28"/>
        </w:rPr>
      </w:pPr>
      <w:r>
        <w:rPr>
          <w:color w:val="000000" w:themeColor="text1"/>
          <w:sz w:val="28"/>
          <w:szCs w:val="28"/>
        </w:rPr>
        <w:t>6</w:t>
      </w:r>
      <w:r>
        <w:rPr>
          <w:rFonts w:hint="eastAsia"/>
          <w:color w:val="000000" w:themeColor="text1"/>
          <w:sz w:val="28"/>
          <w:szCs w:val="28"/>
        </w:rPr>
        <w:t>.</w:t>
      </w:r>
      <w:r>
        <w:rPr>
          <w:color w:val="000000" w:themeColor="text1"/>
          <w:sz w:val="28"/>
          <w:szCs w:val="28"/>
        </w:rPr>
        <w:t>根据《国家安全监管总局关于公布首批重点监管的危险化学品名录的通知》（安监总管三〔2011〕95号）及《国家安全监管总局关于公布第二批重点监管危险化学品名录的通知》（安监总管三〔2013〕12号） 判别，该公司经营储存的甲醇属于首批重点监管的危险化学品。</w:t>
      </w:r>
    </w:p>
    <w:p>
      <w:pPr>
        <w:tabs>
          <w:tab w:val="left" w:pos="900"/>
        </w:tabs>
        <w:adjustRightInd w:val="0"/>
        <w:snapToGrid w:val="0"/>
        <w:spacing w:line="500" w:lineRule="exact"/>
        <w:ind w:firstLine="560" w:firstLineChars="200"/>
        <w:rPr>
          <w:color w:val="000000" w:themeColor="text1"/>
          <w:sz w:val="28"/>
          <w:szCs w:val="20"/>
        </w:rPr>
      </w:pPr>
      <w:r>
        <w:rPr>
          <w:color w:val="000000" w:themeColor="text1"/>
          <w:sz w:val="28"/>
          <w:szCs w:val="28"/>
        </w:rPr>
        <w:t>7</w:t>
      </w:r>
      <w:r>
        <w:rPr>
          <w:rFonts w:hint="eastAsia"/>
          <w:color w:val="000000" w:themeColor="text1"/>
          <w:sz w:val="28"/>
          <w:szCs w:val="28"/>
        </w:rPr>
        <w:t>.</w:t>
      </w:r>
      <w:r>
        <w:rPr>
          <w:color w:val="000000" w:themeColor="text1"/>
          <w:sz w:val="28"/>
          <w:szCs w:val="28"/>
        </w:rPr>
        <w:t>根据《特别管控危险化学品目录（第一版）》（应急管理部、工业和信息化部、公安部、交通运输部公告2020年第3号）判别，该公司经营储存的甲醇属于特别管控的危险化学品。</w:t>
      </w:r>
    </w:p>
    <w:p>
      <w:pPr>
        <w:adjustRightInd w:val="0"/>
        <w:snapToGrid w:val="0"/>
        <w:spacing w:line="500" w:lineRule="exact"/>
        <w:ind w:firstLine="560" w:firstLineChars="200"/>
        <w:rPr>
          <w:color w:val="000000" w:themeColor="text1"/>
          <w:sz w:val="28"/>
          <w:szCs w:val="28"/>
        </w:rPr>
      </w:pPr>
      <w:r>
        <w:rPr>
          <w:color w:val="000000" w:themeColor="text1"/>
          <w:sz w:val="28"/>
          <w:szCs w:val="28"/>
        </w:rPr>
        <w:t>综上所述，该公司经营储存的甲醇不属于剧毒化学品、监控化学品、易制毒化学品、易制爆危险化学品、高毒物品，属于重点监管及特别管控的危险化学品。</w:t>
      </w:r>
    </w:p>
    <w:bookmarkEnd w:id="993"/>
    <w:bookmarkEnd w:id="994"/>
    <w:bookmarkEnd w:id="995"/>
    <w:bookmarkEnd w:id="996"/>
    <w:bookmarkEnd w:id="997"/>
    <w:bookmarkEnd w:id="998"/>
    <w:p>
      <w:pPr>
        <w:pStyle w:val="19"/>
        <w:spacing w:afterLines="100" w:line="500" w:lineRule="exact"/>
        <w:jc w:val="center"/>
        <w:rPr>
          <w:rFonts w:ascii="楷体_GB2312" w:hAnsi="宋体" w:eastAsia="楷体_GB2312"/>
          <w:color w:val="000000" w:themeColor="text1"/>
          <w:kern w:val="3"/>
        </w:rPr>
      </w:pPr>
      <w:bookmarkStart w:id="1013" w:name="_Toc5300"/>
      <w:bookmarkStart w:id="1014" w:name="_Toc9325"/>
      <w:bookmarkStart w:id="1015" w:name="_Toc5520"/>
      <w:bookmarkStart w:id="1016" w:name="_Toc23334"/>
      <w:bookmarkStart w:id="1017" w:name="_Toc32115"/>
      <w:bookmarkStart w:id="1018" w:name="_Toc26811"/>
      <w:bookmarkStart w:id="1019" w:name="_Toc10525"/>
      <w:bookmarkStart w:id="1020" w:name="_Toc28873"/>
      <w:bookmarkStart w:id="1021" w:name="_Toc24154"/>
      <w:bookmarkStart w:id="1022" w:name="_Toc27150"/>
      <w:bookmarkStart w:id="1023" w:name="_Toc32364"/>
      <w:bookmarkStart w:id="1024" w:name="_Toc16905_WPSOffice_Level2"/>
      <w:bookmarkStart w:id="1025" w:name="_Toc124"/>
      <w:bookmarkStart w:id="1026" w:name="_Toc30058"/>
      <w:bookmarkStart w:id="1027" w:name="_Toc1469"/>
      <w:bookmarkStart w:id="1028" w:name="_Toc3109"/>
      <w:bookmarkStart w:id="1029" w:name="_Toc9607"/>
      <w:r>
        <w:rPr>
          <w:rFonts w:hint="eastAsia" w:ascii="楷体_GB2312" w:hAnsi="宋体" w:eastAsia="楷体_GB2312"/>
          <w:color w:val="000000" w:themeColor="text1"/>
          <w:kern w:val="3"/>
        </w:rPr>
        <w:t>3.5主要危险、有害因素分析</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pPr>
        <w:pStyle w:val="19"/>
        <w:spacing w:afterLines="100" w:line="500" w:lineRule="exact"/>
        <w:rPr>
          <w:rFonts w:ascii="黑体" w:hAnsi="宋体" w:eastAsia="黑体"/>
          <w:color w:val="000000" w:themeColor="text1"/>
          <w:kern w:val="3"/>
          <w:sz w:val="28"/>
          <w:szCs w:val="28"/>
        </w:rPr>
      </w:pPr>
      <w:bookmarkStart w:id="1030" w:name="_Toc20648"/>
      <w:bookmarkStart w:id="1031" w:name="_Toc29270"/>
      <w:bookmarkStart w:id="1032" w:name="_Toc16065"/>
      <w:bookmarkStart w:id="1033" w:name="_Toc11805"/>
      <w:bookmarkStart w:id="1034" w:name="_Toc32144"/>
      <w:bookmarkStart w:id="1035" w:name="_Toc21005"/>
      <w:bookmarkStart w:id="1036" w:name="_Toc8221"/>
      <w:bookmarkStart w:id="1037" w:name="_Toc31861"/>
      <w:bookmarkStart w:id="1038" w:name="_Toc29167"/>
      <w:bookmarkStart w:id="1039" w:name="_Toc29477"/>
      <w:bookmarkStart w:id="1040" w:name="_Toc197667511"/>
      <w:bookmarkStart w:id="1041" w:name="_Toc208398719"/>
      <w:bookmarkStart w:id="1042" w:name="_Toc286493596"/>
      <w:bookmarkStart w:id="1043" w:name="_Toc194389924"/>
      <w:bookmarkStart w:id="1044" w:name="_Toc7763"/>
      <w:bookmarkStart w:id="1045" w:name="_Toc208371309"/>
      <w:bookmarkStart w:id="1046" w:name="_Toc210015071"/>
      <w:bookmarkStart w:id="1047" w:name="_Toc345765773"/>
      <w:bookmarkStart w:id="1048" w:name="_Toc210014448"/>
      <w:r>
        <w:rPr>
          <w:rFonts w:hint="eastAsia" w:ascii="黑体" w:hAnsi="宋体" w:eastAsia="黑体"/>
          <w:color w:val="000000" w:themeColor="text1"/>
          <w:kern w:val="3"/>
          <w:sz w:val="28"/>
          <w:szCs w:val="28"/>
        </w:rPr>
        <w:t>3.5.1厂址危险性分析</w:t>
      </w:r>
      <w:bookmarkEnd w:id="1030"/>
      <w:bookmarkEnd w:id="1031"/>
      <w:bookmarkEnd w:id="1032"/>
      <w:bookmarkEnd w:id="1033"/>
      <w:bookmarkEnd w:id="1034"/>
      <w:bookmarkEnd w:id="1035"/>
      <w:bookmarkEnd w:id="1036"/>
      <w:bookmarkEnd w:id="1037"/>
      <w:bookmarkEnd w:id="1038"/>
      <w:bookmarkEnd w:id="1039"/>
    </w:p>
    <w:p>
      <w:pPr>
        <w:tabs>
          <w:tab w:val="left" w:pos="3900"/>
        </w:tabs>
        <w:adjustRightInd w:val="0"/>
        <w:snapToGrid w:val="0"/>
        <w:spacing w:line="500" w:lineRule="exact"/>
        <w:ind w:firstLine="560" w:firstLineChars="200"/>
        <w:rPr>
          <w:rFonts w:eastAsiaTheme="minorEastAsia"/>
          <w:snapToGrid w:val="0"/>
          <w:color w:val="000000" w:themeColor="text1"/>
          <w:kern w:val="0"/>
          <w:sz w:val="28"/>
          <w:szCs w:val="28"/>
        </w:rPr>
      </w:pPr>
      <w:r>
        <w:rPr>
          <w:color w:val="000000" w:themeColor="text1"/>
          <w:sz w:val="28"/>
          <w:szCs w:val="28"/>
        </w:rPr>
        <w:t>该项目甲醇储存、装卸设施布置于</w:t>
      </w:r>
      <w:r>
        <w:rPr>
          <w:rFonts w:hint="eastAsia"/>
          <w:color w:val="000000" w:themeColor="text1"/>
          <w:sz w:val="28"/>
          <w:szCs w:val="28"/>
        </w:rPr>
        <w:t>昭通市耀晨甲醇醇油有限公司储罐区</w:t>
      </w:r>
      <w:r>
        <w:rPr>
          <w:color w:val="000000" w:themeColor="text1"/>
          <w:sz w:val="28"/>
          <w:szCs w:val="28"/>
        </w:rPr>
        <w:t>内，如</w:t>
      </w:r>
      <w:r>
        <w:rPr>
          <w:snapToGrid w:val="0"/>
          <w:color w:val="000000" w:themeColor="text1"/>
          <w:kern w:val="0"/>
          <w:sz w:val="28"/>
          <w:szCs w:val="28"/>
        </w:rPr>
        <w:t>所在</w:t>
      </w:r>
      <w:r>
        <w:rPr>
          <w:rFonts w:hint="eastAsia"/>
          <w:snapToGrid w:val="0"/>
          <w:color w:val="000000" w:themeColor="text1"/>
          <w:kern w:val="0"/>
          <w:sz w:val="28"/>
          <w:szCs w:val="28"/>
          <w:lang w:val="en-US" w:eastAsia="zh-CN"/>
        </w:rPr>
        <w:t>场地</w:t>
      </w:r>
      <w:r>
        <w:rPr>
          <w:snapToGrid w:val="0"/>
          <w:color w:val="000000" w:themeColor="text1"/>
          <w:kern w:val="0"/>
          <w:sz w:val="28"/>
          <w:szCs w:val="28"/>
        </w:rPr>
        <w:t>自然条件（包括工程地质、气象条件）、交通条件、周边环境等可能会引发地面沉降</w:t>
      </w:r>
      <w:r>
        <w:rPr>
          <w:color w:val="000000" w:themeColor="text1"/>
          <w:sz w:val="28"/>
          <w:szCs w:val="28"/>
        </w:rPr>
        <w:t>、建（构）筑物倒塌</w:t>
      </w:r>
      <w:r>
        <w:rPr>
          <w:snapToGrid w:val="0"/>
          <w:color w:val="000000" w:themeColor="text1"/>
          <w:kern w:val="0"/>
          <w:sz w:val="28"/>
          <w:szCs w:val="28"/>
        </w:rPr>
        <w:t>、甲醇泄漏、</w:t>
      </w:r>
      <w:r>
        <w:rPr>
          <w:color w:val="000000" w:themeColor="text1"/>
          <w:sz w:val="28"/>
          <w:szCs w:val="28"/>
        </w:rPr>
        <w:t>中毒窒息、火灾、其他爆炸、车辆伤害</w:t>
      </w:r>
      <w:r>
        <w:rPr>
          <w:snapToGrid w:val="0"/>
          <w:color w:val="000000" w:themeColor="text1"/>
          <w:kern w:val="0"/>
          <w:sz w:val="28"/>
          <w:szCs w:val="28"/>
        </w:rPr>
        <w:t>等，或事故发</w:t>
      </w:r>
      <w:r>
        <w:rPr>
          <w:rFonts w:eastAsiaTheme="minorEastAsia"/>
          <w:snapToGrid w:val="0"/>
          <w:color w:val="000000" w:themeColor="text1"/>
          <w:kern w:val="0"/>
          <w:sz w:val="28"/>
          <w:szCs w:val="28"/>
        </w:rPr>
        <w:t>生后由于周边交通不通畅、消防支持不力而造成事故严重程度增加。</w:t>
      </w:r>
    </w:p>
    <w:p>
      <w:pPr>
        <w:pStyle w:val="19"/>
        <w:spacing w:afterLines="100" w:line="500" w:lineRule="exact"/>
        <w:rPr>
          <w:rFonts w:ascii="黑体" w:hAnsi="宋体" w:eastAsia="黑体"/>
          <w:color w:val="000000" w:themeColor="text1"/>
          <w:kern w:val="3"/>
          <w:sz w:val="28"/>
          <w:szCs w:val="28"/>
        </w:rPr>
      </w:pPr>
      <w:bookmarkStart w:id="1049" w:name="_Toc71558467"/>
      <w:bookmarkStart w:id="1050" w:name="_Toc23819"/>
      <w:bookmarkStart w:id="1051" w:name="_Toc32655"/>
      <w:bookmarkStart w:id="1052" w:name="_Toc71710900"/>
      <w:bookmarkStart w:id="1053" w:name="_Toc4490"/>
      <w:bookmarkStart w:id="1054" w:name="_Toc26831"/>
      <w:r>
        <w:rPr>
          <w:rFonts w:hint="eastAsia" w:ascii="黑体" w:hAnsi="宋体" w:eastAsia="黑体"/>
          <w:color w:val="000000" w:themeColor="text1"/>
          <w:kern w:val="3"/>
          <w:sz w:val="28"/>
          <w:szCs w:val="28"/>
        </w:rPr>
        <w:t>3.5.1.1自然条件方面的危险性分析</w:t>
      </w:r>
      <w:bookmarkEnd w:id="1049"/>
      <w:bookmarkEnd w:id="1050"/>
      <w:bookmarkEnd w:id="1051"/>
      <w:bookmarkEnd w:id="1052"/>
      <w:bookmarkEnd w:id="1053"/>
      <w:bookmarkEnd w:id="1054"/>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1.低温天气：冬季若遇极端低温天气，气温骤降，可能会造成输油管道冻裂</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2.暴雪、冰冻及霜冻等天气：会导致路面湿滑、结冰，容易产生车辆制动失效、倾翻、伤人事故</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2.高温天气：若遇夏季高温天气，作业人员长时间曝露在日光下，有发生中暑的危险；高温天气，可能导致油品挥发量增加，一是增加损耗，二是大量油品挥发蒸汽聚集可与空气混合形成爆炸性混合物，如遇明火、静电、雷电等可能发生火灾爆炸事故</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3.大风：大风可能会造成导致扬尘，造成现场灰尘弥漫，视线不清，从而引发机械伤害、车辆伤害等事故的发生</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4.雷暴天气：该项目在雷暴天气开展经营活动，造成雷击起火；防雷防静电装置未定期进行检测，接地电阻超标，遇雷暴天气，易发生雷电危害事故</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5.强降雨：若遇连续强降雨天气，</w:t>
      </w:r>
      <w:r>
        <w:rPr>
          <w:snapToGrid w:val="0"/>
          <w:color w:val="000000" w:themeColor="text1"/>
          <w:kern w:val="0"/>
          <w:sz w:val="28"/>
          <w:szCs w:val="28"/>
          <w:lang w:val="zh-CN"/>
        </w:rPr>
        <w:t>可能会因排水不畅而导致厂内积水，从而可引发甲醇储罐上浮、甲醇泄漏</w:t>
      </w:r>
      <w:r>
        <w:rPr>
          <w:snapToGrid w:val="0"/>
          <w:color w:val="000000" w:themeColor="text1"/>
          <w:kern w:val="0"/>
          <w:sz w:val="28"/>
          <w:szCs w:val="28"/>
        </w:rPr>
        <w:t>、设施及设备损坏等危险。</w:t>
      </w:r>
    </w:p>
    <w:p>
      <w:pPr>
        <w:pStyle w:val="19"/>
        <w:spacing w:afterLines="100" w:line="500" w:lineRule="exact"/>
        <w:rPr>
          <w:rFonts w:ascii="黑体" w:hAnsi="宋体" w:eastAsia="黑体"/>
          <w:color w:val="000000" w:themeColor="text1"/>
          <w:kern w:val="3"/>
          <w:sz w:val="28"/>
          <w:szCs w:val="28"/>
        </w:rPr>
      </w:pPr>
      <w:bookmarkStart w:id="1055" w:name="_Toc14892"/>
      <w:bookmarkStart w:id="1056" w:name="_Toc71558468"/>
      <w:bookmarkStart w:id="1057" w:name="_Toc855"/>
      <w:bookmarkStart w:id="1058" w:name="_Toc71710901"/>
      <w:bookmarkStart w:id="1059" w:name="_Toc31669"/>
      <w:bookmarkStart w:id="1060" w:name="_Toc2843"/>
      <w:r>
        <w:rPr>
          <w:rFonts w:hint="eastAsia" w:ascii="黑体" w:hAnsi="宋体" w:eastAsia="黑体"/>
          <w:color w:val="000000" w:themeColor="text1"/>
          <w:kern w:val="3"/>
          <w:sz w:val="28"/>
          <w:szCs w:val="28"/>
        </w:rPr>
        <w:t>3.5.1.2周边环境方面的危险性分析</w:t>
      </w:r>
      <w:bookmarkEnd w:id="1055"/>
      <w:bookmarkEnd w:id="1056"/>
      <w:bookmarkEnd w:id="1057"/>
      <w:bookmarkEnd w:id="1058"/>
      <w:bookmarkEnd w:id="1059"/>
      <w:bookmarkEnd w:id="1060"/>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1.该项目</w:t>
      </w:r>
      <w:r>
        <w:rPr>
          <w:rFonts w:hint="eastAsia"/>
          <w:snapToGrid w:val="0"/>
          <w:color w:val="000000" w:themeColor="text1"/>
          <w:kern w:val="0"/>
          <w:sz w:val="28"/>
          <w:szCs w:val="28"/>
        </w:rPr>
        <w:t>周边民房</w:t>
      </w:r>
      <w:r>
        <w:rPr>
          <w:snapToGrid w:val="0"/>
          <w:color w:val="000000" w:themeColor="text1"/>
          <w:kern w:val="0"/>
          <w:sz w:val="28"/>
          <w:szCs w:val="28"/>
        </w:rPr>
        <w:t>发生火灾可能会对</w:t>
      </w:r>
      <w:r>
        <w:rPr>
          <w:rFonts w:hint="eastAsia"/>
          <w:snapToGrid w:val="0"/>
          <w:color w:val="000000" w:themeColor="text1"/>
          <w:kern w:val="0"/>
          <w:sz w:val="28"/>
          <w:szCs w:val="28"/>
        </w:rPr>
        <w:t>储罐区</w:t>
      </w:r>
      <w:r>
        <w:rPr>
          <w:snapToGrid w:val="0"/>
          <w:color w:val="000000" w:themeColor="text1"/>
          <w:kern w:val="0"/>
          <w:sz w:val="28"/>
          <w:szCs w:val="28"/>
        </w:rPr>
        <w:t>造成火灾危险；若该项目发生火灾、爆炸事故会对</w:t>
      </w:r>
      <w:r>
        <w:rPr>
          <w:rFonts w:hint="eastAsia"/>
          <w:snapToGrid w:val="0"/>
          <w:color w:val="000000" w:themeColor="text1"/>
          <w:kern w:val="0"/>
          <w:sz w:val="28"/>
          <w:szCs w:val="28"/>
        </w:rPr>
        <w:t>周边民房</w:t>
      </w:r>
      <w:r>
        <w:rPr>
          <w:snapToGrid w:val="0"/>
          <w:color w:val="000000" w:themeColor="text1"/>
          <w:kern w:val="0"/>
          <w:sz w:val="28"/>
          <w:szCs w:val="28"/>
        </w:rPr>
        <w:t>造成火灾危险</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2.该项目</w:t>
      </w:r>
      <w:r>
        <w:rPr>
          <w:rFonts w:hint="eastAsia"/>
          <w:snapToGrid w:val="0"/>
          <w:color w:val="000000" w:themeColor="text1"/>
          <w:kern w:val="0"/>
          <w:sz w:val="28"/>
          <w:szCs w:val="28"/>
        </w:rPr>
        <w:t>西面、北面及东北面为空地，空地上均有</w:t>
      </w:r>
      <w:r>
        <w:rPr>
          <w:snapToGrid w:val="0"/>
          <w:color w:val="000000" w:themeColor="text1"/>
          <w:kern w:val="0"/>
          <w:sz w:val="28"/>
          <w:szCs w:val="28"/>
        </w:rPr>
        <w:t>杂草，若发生火灾事故会对该项目造成火灾、爆炸等危险</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3.该项目</w:t>
      </w:r>
      <w:r>
        <w:rPr>
          <w:rFonts w:hint="eastAsia"/>
          <w:snapToGrid w:val="0"/>
          <w:color w:val="000000" w:themeColor="text1"/>
          <w:kern w:val="0"/>
          <w:sz w:val="28"/>
          <w:szCs w:val="28"/>
        </w:rPr>
        <w:t>东北面及东面</w:t>
      </w:r>
      <w:r>
        <w:rPr>
          <w:snapToGrid w:val="0"/>
          <w:color w:val="000000" w:themeColor="text1"/>
          <w:kern w:val="0"/>
          <w:sz w:val="28"/>
          <w:szCs w:val="28"/>
        </w:rPr>
        <w:t>的民房发生火灾、爆炸事故或周边居民在节假日燃放烟花爆竹、鞭炮等可能对该项目造成火灾、爆炸、人员伤亡等危险，若该项目发生火灾、爆炸事故，会对周边的民房造成火灾危险</w:t>
      </w:r>
      <w:r>
        <w:rPr>
          <w:rFonts w:hint="eastAsia"/>
          <w:snapToGrid w:val="0"/>
          <w:color w:val="000000" w:themeColor="text1"/>
          <w:kern w:val="0"/>
          <w:sz w:val="28"/>
          <w:szCs w:val="28"/>
        </w:rPr>
        <w:t>。</w:t>
      </w:r>
    </w:p>
    <w:p>
      <w:pPr>
        <w:pStyle w:val="19"/>
        <w:spacing w:afterLines="100" w:line="500" w:lineRule="exact"/>
        <w:rPr>
          <w:rFonts w:ascii="黑体" w:hAnsi="宋体" w:eastAsia="黑体"/>
          <w:color w:val="000000" w:themeColor="text1"/>
          <w:kern w:val="3"/>
          <w:sz w:val="28"/>
          <w:szCs w:val="28"/>
        </w:rPr>
      </w:pPr>
      <w:bookmarkStart w:id="1061" w:name="_Toc23374"/>
      <w:bookmarkStart w:id="1062" w:name="_Toc382"/>
      <w:bookmarkStart w:id="1063" w:name="_Toc1285"/>
      <w:bookmarkStart w:id="1064" w:name="_Toc30188"/>
      <w:bookmarkStart w:id="1065" w:name="_Toc30279"/>
      <w:bookmarkStart w:id="1066" w:name="_Toc19883"/>
      <w:bookmarkStart w:id="1067" w:name="_Toc8387"/>
      <w:bookmarkStart w:id="1068" w:name="_Toc939"/>
      <w:bookmarkStart w:id="1069" w:name="_Toc6174"/>
      <w:bookmarkStart w:id="1070" w:name="_Toc7457"/>
      <w:r>
        <w:rPr>
          <w:rFonts w:hint="eastAsia" w:ascii="黑体" w:hAnsi="宋体" w:eastAsia="黑体"/>
          <w:color w:val="000000" w:themeColor="text1"/>
          <w:kern w:val="3"/>
          <w:sz w:val="28"/>
          <w:szCs w:val="28"/>
        </w:rPr>
        <w:t>3.5.2 总平面布置危险性分析</w:t>
      </w:r>
      <w:bookmarkEnd w:id="1061"/>
      <w:bookmarkEnd w:id="1062"/>
      <w:bookmarkEnd w:id="1063"/>
      <w:bookmarkEnd w:id="1064"/>
      <w:bookmarkEnd w:id="1065"/>
      <w:bookmarkEnd w:id="1066"/>
      <w:bookmarkEnd w:id="1067"/>
      <w:bookmarkEnd w:id="1068"/>
      <w:bookmarkEnd w:id="1069"/>
      <w:bookmarkEnd w:id="1070"/>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该项目的总平面布置主要包括功能分区、防火间距、风向、道路、竖向布置等方面的内容。若该项目功能分区不明确、厂内设施之间的防火间距不足、道路狭窄等均可能引发事故。总平面布置不合理主要可能导致：火灾、爆炸、车辆伤害等危险。</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引发事故的原因主要有：</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1.若甲醇罐车卸车过程中未设置警戒线进行隔离或未设置其他相应的安全警示标识，有可能发生车辆碰撞等，进而导致发生甲醇泄漏、火灾、爆炸、车辆伤害等危险</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2.若厂内人员缺乏安全意识，卸甲醇时闯入卸甲醇区或乱扔烟头等可引发火灾、爆炸事故</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3.厂内车辆出入频繁时，若出入口标识不清，操作人员引导不当，厂内车辆发生碰撞等，可能导致发生火灾、爆炸、车辆伤害等危险</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4.储罐区设置2个甲醇罐罐池，设置了1个</w:t>
      </w:r>
      <w:r>
        <w:rPr>
          <w:rFonts w:hint="eastAsia"/>
          <w:snapToGrid w:val="0"/>
          <w:color w:val="000000" w:themeColor="text1"/>
          <w:kern w:val="0"/>
          <w:sz w:val="28"/>
          <w:szCs w:val="28"/>
        </w:rPr>
        <w:t>水位</w:t>
      </w:r>
      <w:r>
        <w:rPr>
          <w:snapToGrid w:val="0"/>
          <w:color w:val="000000" w:themeColor="text1"/>
          <w:kern w:val="0"/>
          <w:sz w:val="28"/>
          <w:szCs w:val="28"/>
        </w:rPr>
        <w:t>观察井，若罐池防渗不当或地表水、雨水渗入池内，若不及时抽出，可能引发储罐上浮</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5.厂内消防通道堆放物品导致消防通道受阻，如果厂区发生火灾事故，可能导致救援不力致使事故扩大。</w:t>
      </w:r>
    </w:p>
    <w:p>
      <w:pPr>
        <w:pStyle w:val="19"/>
        <w:spacing w:afterLines="100" w:line="500" w:lineRule="exact"/>
        <w:rPr>
          <w:rFonts w:ascii="黑体" w:hAnsi="宋体" w:eastAsia="黑体"/>
          <w:color w:val="000000" w:themeColor="text1"/>
          <w:kern w:val="3"/>
          <w:sz w:val="28"/>
          <w:szCs w:val="28"/>
        </w:rPr>
      </w:pPr>
      <w:bookmarkStart w:id="1071" w:name="_Toc21358"/>
      <w:bookmarkStart w:id="1072" w:name="_Toc28314"/>
      <w:bookmarkStart w:id="1073" w:name="_Toc28527"/>
      <w:bookmarkStart w:id="1074" w:name="_Toc9605"/>
      <w:bookmarkStart w:id="1075" w:name="_Toc11490"/>
      <w:bookmarkStart w:id="1076" w:name="_Toc4998"/>
      <w:bookmarkStart w:id="1077" w:name="_Toc2387"/>
      <w:bookmarkStart w:id="1078" w:name="_Toc22269"/>
      <w:bookmarkStart w:id="1079" w:name="_Toc25706"/>
      <w:bookmarkStart w:id="1080" w:name="_Toc9079"/>
      <w:r>
        <w:rPr>
          <w:rFonts w:hint="eastAsia" w:ascii="黑体" w:hAnsi="宋体" w:eastAsia="黑体"/>
          <w:color w:val="000000" w:themeColor="text1"/>
          <w:kern w:val="3"/>
          <w:sz w:val="28"/>
          <w:szCs w:val="28"/>
        </w:rPr>
        <w:t>3.5.3甲醇储存、装卸工艺设备、设施危险性分析</w:t>
      </w:r>
      <w:bookmarkEnd w:id="1071"/>
      <w:bookmarkEnd w:id="1072"/>
      <w:bookmarkEnd w:id="1073"/>
      <w:bookmarkEnd w:id="1074"/>
      <w:bookmarkEnd w:id="1075"/>
      <w:bookmarkEnd w:id="1076"/>
      <w:bookmarkEnd w:id="1077"/>
      <w:bookmarkEnd w:id="1078"/>
      <w:bookmarkEnd w:id="1079"/>
      <w:bookmarkEnd w:id="1080"/>
    </w:p>
    <w:p>
      <w:pPr>
        <w:pStyle w:val="19"/>
        <w:spacing w:afterLines="100" w:line="500" w:lineRule="exact"/>
        <w:rPr>
          <w:rFonts w:ascii="黑体" w:hAnsi="宋体" w:eastAsia="黑体"/>
          <w:color w:val="000000" w:themeColor="text1"/>
          <w:kern w:val="3"/>
          <w:sz w:val="28"/>
          <w:szCs w:val="28"/>
        </w:rPr>
      </w:pPr>
      <w:bookmarkStart w:id="1081" w:name="_Toc32054"/>
      <w:bookmarkStart w:id="1082" w:name="_Toc21486"/>
      <w:bookmarkStart w:id="1083" w:name="_Toc71710904"/>
      <w:bookmarkStart w:id="1084" w:name="_Toc25224"/>
      <w:bookmarkStart w:id="1085" w:name="_Toc71558471"/>
      <w:bookmarkStart w:id="1086" w:name="_Toc9157"/>
      <w:r>
        <w:rPr>
          <w:rFonts w:hint="eastAsia" w:ascii="黑体" w:hAnsi="宋体" w:eastAsia="黑体"/>
          <w:color w:val="000000" w:themeColor="text1"/>
          <w:kern w:val="3"/>
          <w:sz w:val="28"/>
          <w:szCs w:val="28"/>
        </w:rPr>
        <w:t>3.5.3.1 甲醇储罐危险性分析</w:t>
      </w:r>
      <w:bookmarkEnd w:id="1081"/>
      <w:bookmarkEnd w:id="1082"/>
      <w:bookmarkEnd w:id="1083"/>
      <w:bookmarkEnd w:id="1084"/>
      <w:bookmarkEnd w:id="1085"/>
      <w:bookmarkEnd w:id="1086"/>
    </w:p>
    <w:p>
      <w:pPr>
        <w:tabs>
          <w:tab w:val="left" w:pos="3900"/>
        </w:tabs>
        <w:adjustRightInd w:val="0"/>
        <w:snapToGrid w:val="0"/>
        <w:spacing w:line="500" w:lineRule="exact"/>
        <w:ind w:firstLine="560" w:firstLineChars="200"/>
        <w:rPr>
          <w:snapToGrid w:val="0"/>
          <w:color w:val="000000" w:themeColor="text1"/>
          <w:kern w:val="0"/>
          <w:sz w:val="28"/>
          <w:szCs w:val="28"/>
        </w:rPr>
      </w:pPr>
      <w:bookmarkStart w:id="1087" w:name="_Toc71558472"/>
      <w:bookmarkStart w:id="1088" w:name="_Toc71710905"/>
      <w:r>
        <w:rPr>
          <w:snapToGrid w:val="0"/>
          <w:color w:val="000000" w:themeColor="text1"/>
          <w:kern w:val="0"/>
          <w:sz w:val="28"/>
          <w:szCs w:val="28"/>
        </w:rPr>
        <w:t>该项目储罐主要存在：因甲醇泄漏引发火灾、爆炸的危险及雷电和静电危害。</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引发事故的原因主要有：</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1.超年限使用储罐</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2.违章指挥或违章操作，如违章动火、未穿戴防静电工作服、液位监控不及时等造成甲醇蒸气外逸遇明火引爆</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3.防雷接地电阻超标，通气管遇雷击，或静电火花引燃引爆</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4.储罐或卸甲醇管道阀门连接不当，密封不良造成甲醇泄漏</w:t>
      </w:r>
      <w:r>
        <w:rPr>
          <w:rFonts w:hint="eastAsia"/>
          <w:snapToGrid w:val="0"/>
          <w:color w:val="000000" w:themeColor="text1"/>
          <w:kern w:val="0"/>
          <w:sz w:val="28"/>
          <w:szCs w:val="28"/>
        </w:rPr>
        <w:t>。</w:t>
      </w:r>
    </w:p>
    <w:p>
      <w:pPr>
        <w:tabs>
          <w:tab w:val="left" w:pos="3900"/>
        </w:tabs>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另外，进入甲醇储罐进行有限空间作业时，未进行置换、检测，直接进入储罐内进行维修作业，可能造成人员中毒、窒息等事故。</w:t>
      </w:r>
    </w:p>
    <w:p>
      <w:pPr>
        <w:pStyle w:val="19"/>
        <w:spacing w:afterLines="100" w:line="500" w:lineRule="exact"/>
        <w:rPr>
          <w:rFonts w:ascii="黑体" w:hAnsi="宋体" w:eastAsia="黑体"/>
          <w:color w:val="000000" w:themeColor="text1"/>
          <w:kern w:val="3"/>
          <w:sz w:val="28"/>
          <w:szCs w:val="28"/>
        </w:rPr>
      </w:pPr>
      <w:bookmarkStart w:id="1089" w:name="_Toc7757"/>
      <w:bookmarkStart w:id="1090" w:name="_Toc30752"/>
      <w:bookmarkStart w:id="1091" w:name="_Toc12829"/>
      <w:bookmarkStart w:id="1092" w:name="_Toc2393"/>
      <w:r>
        <w:rPr>
          <w:rFonts w:hint="eastAsia" w:ascii="黑体" w:hAnsi="宋体" w:eastAsia="黑体"/>
          <w:color w:val="000000" w:themeColor="text1"/>
          <w:kern w:val="3"/>
          <w:sz w:val="28"/>
          <w:szCs w:val="28"/>
        </w:rPr>
        <w:t>3.5.3.2汽车装卸设施危险性分析</w:t>
      </w:r>
      <w:bookmarkEnd w:id="1087"/>
      <w:bookmarkEnd w:id="1088"/>
      <w:bookmarkEnd w:id="1089"/>
      <w:bookmarkEnd w:id="1090"/>
      <w:bookmarkEnd w:id="1091"/>
      <w:bookmarkEnd w:id="1092"/>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该项目甲醇采用汽车运输至厂内卸车点，然后卸入储罐后用塑料桶分装后装车外售。其中卸车点设有1个卸车口，如卸车口或分装器具及安全设施存在缺陷会引发安全事故。</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1</w:t>
      </w:r>
      <w:r>
        <w:rPr>
          <w:rFonts w:hint="eastAsia" w:eastAsiaTheme="minorEastAsia"/>
          <w:color w:val="000000" w:themeColor="text1"/>
          <w:sz w:val="28"/>
          <w:szCs w:val="28"/>
        </w:rPr>
        <w:t>.</w:t>
      </w:r>
      <w:r>
        <w:rPr>
          <w:rFonts w:eastAsiaTheme="minorEastAsia"/>
          <w:color w:val="000000" w:themeColor="text1"/>
          <w:sz w:val="28"/>
          <w:szCs w:val="28"/>
        </w:rPr>
        <w:t>采用敞开式分装作业有可能造成甲醇或其蒸气泄漏而引发火灾、中毒等危险。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2</w:t>
      </w:r>
      <w:r>
        <w:rPr>
          <w:rFonts w:hint="eastAsia" w:eastAsiaTheme="minorEastAsia"/>
          <w:color w:val="000000" w:themeColor="text1"/>
          <w:sz w:val="28"/>
          <w:szCs w:val="28"/>
        </w:rPr>
        <w:t>.</w:t>
      </w:r>
      <w:r>
        <w:rPr>
          <w:rFonts w:eastAsiaTheme="minorEastAsia"/>
          <w:color w:val="000000" w:themeColor="text1"/>
          <w:sz w:val="28"/>
          <w:szCs w:val="28"/>
        </w:rPr>
        <w:t>卸车口或分装器具未采取防静电接地措施或设置缺陷，卸车时未按要求连接卸车用防静电接地夹使用或分装作业选用的器具不适均有可能由于静电危害而引发火灾危险，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3</w:t>
      </w:r>
      <w:r>
        <w:rPr>
          <w:rFonts w:hint="eastAsia" w:eastAsiaTheme="minorEastAsia"/>
          <w:color w:val="000000" w:themeColor="text1"/>
          <w:sz w:val="28"/>
          <w:szCs w:val="28"/>
        </w:rPr>
        <w:t>.</w:t>
      </w:r>
      <w:r>
        <w:rPr>
          <w:rFonts w:eastAsiaTheme="minorEastAsia"/>
          <w:color w:val="000000" w:themeColor="text1"/>
          <w:sz w:val="28"/>
          <w:szCs w:val="28"/>
        </w:rPr>
        <w:t>卸车口及其管线未采取固定措施，</w:t>
      </w:r>
      <w:r>
        <w:rPr>
          <w:color w:val="000000" w:themeColor="text1"/>
          <w:sz w:val="28"/>
          <w:szCs w:val="28"/>
        </w:rPr>
        <w:t>管路支座及管路本身有异常振动或变形，</w:t>
      </w:r>
      <w:r>
        <w:rPr>
          <w:rFonts w:eastAsiaTheme="minorEastAsia"/>
          <w:color w:val="000000" w:themeColor="text1"/>
          <w:sz w:val="28"/>
          <w:szCs w:val="28"/>
        </w:rPr>
        <w:t>或存在卸车</w:t>
      </w:r>
      <w:r>
        <w:rPr>
          <w:color w:val="000000" w:themeColor="text1"/>
          <w:sz w:val="28"/>
          <w:szCs w:val="28"/>
        </w:rPr>
        <w:t>管路发生锈蚀穿孔，输送管路上的法兰、阀门、焊接等处连接不紧密等缺陷均有可能发生甲醇泄漏而引发安全事故。</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4</w:t>
      </w:r>
      <w:r>
        <w:rPr>
          <w:rFonts w:hint="eastAsia" w:eastAsiaTheme="minorEastAsia"/>
          <w:color w:val="000000" w:themeColor="text1"/>
          <w:sz w:val="28"/>
          <w:szCs w:val="28"/>
        </w:rPr>
        <w:t>.</w:t>
      </w:r>
      <w:r>
        <w:rPr>
          <w:rFonts w:eastAsiaTheme="minorEastAsia"/>
          <w:color w:val="000000" w:themeColor="text1"/>
          <w:sz w:val="28"/>
          <w:szCs w:val="28"/>
        </w:rPr>
        <w:t>分装作业过程中，如使用的计量器具计量不准，即未采取有效定量分装系统，在操作过程中，有可能因计量不准确而导致装桶过满，甲醇外溢引发火灾、中毒等事故。</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5</w:t>
      </w:r>
      <w:r>
        <w:rPr>
          <w:rFonts w:hint="eastAsia" w:eastAsiaTheme="minorEastAsia"/>
          <w:color w:val="000000" w:themeColor="text1"/>
          <w:sz w:val="28"/>
          <w:szCs w:val="28"/>
        </w:rPr>
        <w:t>.</w:t>
      </w:r>
      <w:r>
        <w:rPr>
          <w:rFonts w:eastAsiaTheme="minorEastAsia"/>
          <w:color w:val="000000" w:themeColor="text1"/>
          <w:sz w:val="28"/>
          <w:szCs w:val="28"/>
        </w:rPr>
        <w:t>汽车卸车过程或分装作业过程等发生跑、冒、滴、漏现象而未对泄漏的甲醇进行及时处理或处理不当会引发火灾、中毒等事故。</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6</w:t>
      </w:r>
      <w:r>
        <w:rPr>
          <w:rFonts w:hint="eastAsia" w:eastAsiaTheme="minorEastAsia"/>
          <w:color w:val="000000" w:themeColor="text1"/>
          <w:sz w:val="28"/>
          <w:szCs w:val="28"/>
        </w:rPr>
        <w:t>.</w:t>
      </w:r>
      <w:r>
        <w:rPr>
          <w:rFonts w:eastAsiaTheme="minorEastAsia"/>
          <w:color w:val="000000" w:themeColor="text1"/>
          <w:sz w:val="28"/>
          <w:szCs w:val="28"/>
        </w:rPr>
        <w:t>防雷装置缺失或汽车卸车、分装作业未设有效的人体静电消除装置等均引发雷电和静电危害，进而造成火灾危险。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7</w:t>
      </w:r>
      <w:r>
        <w:rPr>
          <w:rFonts w:hint="eastAsia" w:eastAsiaTheme="minorEastAsia"/>
          <w:color w:val="000000" w:themeColor="text1"/>
          <w:sz w:val="28"/>
          <w:szCs w:val="28"/>
        </w:rPr>
        <w:t>.</w:t>
      </w:r>
      <w:r>
        <w:rPr>
          <w:rFonts w:eastAsiaTheme="minorEastAsia"/>
          <w:color w:val="000000" w:themeColor="text1"/>
          <w:sz w:val="28"/>
          <w:szCs w:val="28"/>
        </w:rPr>
        <w:t>其他引发事故的原因。</w:t>
      </w:r>
    </w:p>
    <w:p>
      <w:pPr>
        <w:pStyle w:val="19"/>
        <w:spacing w:afterLines="100" w:line="500" w:lineRule="exact"/>
        <w:rPr>
          <w:rFonts w:ascii="黑体" w:hAnsi="宋体" w:eastAsia="黑体"/>
          <w:color w:val="000000" w:themeColor="text1"/>
          <w:kern w:val="3"/>
          <w:sz w:val="28"/>
          <w:szCs w:val="28"/>
        </w:rPr>
      </w:pPr>
      <w:bookmarkStart w:id="1093" w:name="_Toc71710906"/>
      <w:bookmarkStart w:id="1094" w:name="_Toc29720"/>
      <w:bookmarkStart w:id="1095" w:name="_Toc14769"/>
      <w:bookmarkStart w:id="1096" w:name="_Toc71558473"/>
      <w:bookmarkStart w:id="1097" w:name="_Toc17215"/>
      <w:bookmarkStart w:id="1098" w:name="_Toc17510"/>
      <w:r>
        <w:rPr>
          <w:rFonts w:hint="eastAsia" w:ascii="黑体" w:hAnsi="宋体" w:eastAsia="黑体"/>
          <w:color w:val="000000" w:themeColor="text1"/>
          <w:kern w:val="3"/>
          <w:sz w:val="28"/>
          <w:szCs w:val="28"/>
        </w:rPr>
        <w:t>3.5.3.3设备危险性分析</w:t>
      </w:r>
      <w:bookmarkEnd w:id="1093"/>
      <w:bookmarkEnd w:id="1094"/>
      <w:bookmarkEnd w:id="1095"/>
      <w:bookmarkEnd w:id="1096"/>
      <w:bookmarkEnd w:id="1097"/>
      <w:bookmarkEnd w:id="1098"/>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该项目设有甲醇</w:t>
      </w:r>
      <w:r>
        <w:rPr>
          <w:rFonts w:hint="eastAsia" w:eastAsiaTheme="minorEastAsia"/>
          <w:color w:val="000000" w:themeColor="text1"/>
          <w:sz w:val="28"/>
          <w:szCs w:val="28"/>
        </w:rPr>
        <w:t>加注机</w:t>
      </w:r>
      <w:r>
        <w:rPr>
          <w:rFonts w:eastAsiaTheme="minorEastAsia"/>
          <w:color w:val="000000" w:themeColor="text1"/>
          <w:sz w:val="28"/>
          <w:szCs w:val="28"/>
        </w:rPr>
        <w:t>等，如甲醇</w:t>
      </w:r>
      <w:r>
        <w:rPr>
          <w:rFonts w:hint="eastAsia" w:eastAsiaTheme="minorEastAsia"/>
          <w:color w:val="000000" w:themeColor="text1"/>
          <w:sz w:val="28"/>
          <w:szCs w:val="28"/>
        </w:rPr>
        <w:t>加注机</w:t>
      </w:r>
      <w:r>
        <w:rPr>
          <w:rFonts w:eastAsiaTheme="minorEastAsia"/>
          <w:color w:val="000000" w:themeColor="text1"/>
          <w:sz w:val="28"/>
          <w:szCs w:val="28"/>
        </w:rPr>
        <w:t>及其安全附件缺失、损坏可能造成甲醇泄漏、机械伤害等安全事故，其主要引发原因分析如下：</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1</w:t>
      </w:r>
      <w:r>
        <w:rPr>
          <w:rFonts w:hint="eastAsia" w:eastAsiaTheme="minorEastAsia"/>
          <w:color w:val="000000" w:themeColor="text1"/>
          <w:sz w:val="28"/>
          <w:szCs w:val="28"/>
        </w:rPr>
        <w:t>.</w:t>
      </w:r>
      <w:r>
        <w:rPr>
          <w:rFonts w:eastAsiaTheme="minorEastAsia"/>
          <w:color w:val="000000" w:themeColor="text1"/>
          <w:sz w:val="28"/>
          <w:szCs w:val="28"/>
        </w:rPr>
        <w:t>甲醇</w:t>
      </w:r>
      <w:r>
        <w:rPr>
          <w:rFonts w:hint="eastAsia" w:eastAsiaTheme="minorEastAsia"/>
          <w:color w:val="000000" w:themeColor="text1"/>
          <w:sz w:val="28"/>
          <w:szCs w:val="28"/>
        </w:rPr>
        <w:t>加注机</w:t>
      </w:r>
      <w:r>
        <w:rPr>
          <w:rFonts w:eastAsiaTheme="minorEastAsia"/>
          <w:color w:val="000000" w:themeColor="text1"/>
          <w:sz w:val="28"/>
          <w:szCs w:val="28"/>
        </w:rPr>
        <w:t>附件安装、质量缺陷，或甲醇</w:t>
      </w:r>
      <w:r>
        <w:rPr>
          <w:rFonts w:hint="eastAsia" w:eastAsiaTheme="minorEastAsia"/>
          <w:color w:val="000000" w:themeColor="text1"/>
          <w:sz w:val="28"/>
          <w:szCs w:val="28"/>
        </w:rPr>
        <w:t>加注机</w:t>
      </w:r>
      <w:r>
        <w:rPr>
          <w:rFonts w:eastAsiaTheme="minorEastAsia"/>
          <w:color w:val="000000" w:themeColor="text1"/>
          <w:sz w:val="28"/>
          <w:szCs w:val="28"/>
        </w:rPr>
        <w:t>的电机不防爆等有可能引发甲醇泄漏、火灾等危险。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2</w:t>
      </w:r>
      <w:r>
        <w:rPr>
          <w:rFonts w:hint="eastAsia" w:eastAsiaTheme="minorEastAsia"/>
          <w:color w:val="000000" w:themeColor="text1"/>
          <w:sz w:val="28"/>
          <w:szCs w:val="28"/>
        </w:rPr>
        <w:t>.</w:t>
      </w:r>
      <w:r>
        <w:rPr>
          <w:rFonts w:eastAsiaTheme="minorEastAsia"/>
          <w:color w:val="000000" w:themeColor="text1"/>
          <w:sz w:val="28"/>
          <w:szCs w:val="28"/>
        </w:rPr>
        <w:t>各连接的输送管道未设置接地体或接地体损坏或老化，未定期对接地体电阻值进行检测或接地体电阻值超标等会引发静电危害。</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3</w:t>
      </w:r>
      <w:r>
        <w:rPr>
          <w:rFonts w:hint="eastAsia" w:eastAsiaTheme="minorEastAsia"/>
          <w:color w:val="000000" w:themeColor="text1"/>
          <w:sz w:val="28"/>
          <w:szCs w:val="28"/>
        </w:rPr>
        <w:t>.</w:t>
      </w:r>
      <w:r>
        <w:rPr>
          <w:rFonts w:eastAsiaTheme="minorEastAsia"/>
          <w:color w:val="000000" w:themeColor="text1"/>
          <w:sz w:val="28"/>
          <w:szCs w:val="28"/>
        </w:rPr>
        <w:t>各阀门、管道连接处密封不良，未定期对各附件进行检测、检验，或超期、超负荷使用等可能会引发甲醇泄漏。如作业区通风不良，作业人员未及时处理泄漏的甲醇或操作时未穿戴劳动防护用品等会引发中毒窒息、化学灼伤、火灾等事故。</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4.</w:t>
      </w:r>
      <w:r>
        <w:rPr>
          <w:rFonts w:eastAsiaTheme="minorEastAsia"/>
          <w:color w:val="000000" w:themeColor="text1"/>
          <w:sz w:val="28"/>
          <w:szCs w:val="28"/>
        </w:rPr>
        <w:t>用电线路敷设不规范、裸露等会引发触电。</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5.</w:t>
      </w:r>
      <w:r>
        <w:rPr>
          <w:rFonts w:eastAsiaTheme="minorEastAsia"/>
          <w:color w:val="000000" w:themeColor="text1"/>
          <w:sz w:val="28"/>
          <w:szCs w:val="28"/>
        </w:rPr>
        <w:t>引发事故的其他原因。</w:t>
      </w:r>
    </w:p>
    <w:p>
      <w:pPr>
        <w:pStyle w:val="19"/>
        <w:spacing w:afterLines="100" w:line="500" w:lineRule="exact"/>
        <w:rPr>
          <w:rFonts w:ascii="黑体" w:hAnsi="宋体" w:eastAsia="黑体"/>
          <w:color w:val="000000" w:themeColor="text1"/>
          <w:kern w:val="3"/>
          <w:sz w:val="28"/>
          <w:szCs w:val="28"/>
        </w:rPr>
      </w:pPr>
      <w:bookmarkStart w:id="1099" w:name="_Toc71710907"/>
      <w:bookmarkStart w:id="1100" w:name="_Toc16637"/>
      <w:bookmarkStart w:id="1101" w:name="_Toc20789"/>
      <w:bookmarkStart w:id="1102" w:name="_Toc71558474"/>
      <w:bookmarkStart w:id="1103" w:name="_Toc3937"/>
      <w:bookmarkStart w:id="1104" w:name="_Toc16856"/>
      <w:r>
        <w:rPr>
          <w:rFonts w:hint="eastAsia" w:ascii="黑体" w:hAnsi="宋体" w:eastAsia="黑体"/>
          <w:color w:val="000000" w:themeColor="text1"/>
          <w:kern w:val="3"/>
          <w:sz w:val="28"/>
          <w:szCs w:val="28"/>
        </w:rPr>
        <w:t>3.5.3.4甲醇输送管线等其他设备、设施危险性分析</w:t>
      </w:r>
      <w:bookmarkEnd w:id="1099"/>
      <w:bookmarkEnd w:id="1100"/>
      <w:bookmarkEnd w:id="1101"/>
      <w:bookmarkEnd w:id="1102"/>
      <w:bookmarkEnd w:id="1103"/>
      <w:bookmarkEnd w:id="1104"/>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1</w:t>
      </w:r>
      <w:r>
        <w:rPr>
          <w:rFonts w:hint="eastAsia" w:eastAsiaTheme="minorEastAsia"/>
          <w:color w:val="000000" w:themeColor="text1"/>
          <w:sz w:val="28"/>
          <w:szCs w:val="28"/>
        </w:rPr>
        <w:t>.</w:t>
      </w:r>
      <w:r>
        <w:rPr>
          <w:rFonts w:eastAsiaTheme="minorEastAsia"/>
          <w:color w:val="000000" w:themeColor="text1"/>
          <w:sz w:val="28"/>
          <w:szCs w:val="28"/>
        </w:rPr>
        <w:t>甲醇管道各段输送管道敷设不规范或安装、施工缺陷或超年限使用，防腐层脱落，存在锈蚀穿孔等易引发泄漏。</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2</w:t>
      </w:r>
      <w:r>
        <w:rPr>
          <w:rFonts w:hint="eastAsia" w:eastAsiaTheme="minorEastAsia"/>
          <w:color w:val="000000" w:themeColor="text1"/>
          <w:sz w:val="28"/>
          <w:szCs w:val="28"/>
        </w:rPr>
        <w:t>.</w:t>
      </w:r>
      <w:r>
        <w:rPr>
          <w:rFonts w:eastAsiaTheme="minorEastAsia"/>
          <w:color w:val="000000" w:themeColor="text1"/>
          <w:sz w:val="28"/>
          <w:szCs w:val="28"/>
        </w:rPr>
        <w:t>未定期对输送</w:t>
      </w:r>
      <w:r>
        <w:rPr>
          <w:rFonts w:eastAsiaTheme="minorEastAsia"/>
          <w:color w:val="000000" w:themeColor="text1"/>
          <w:kern w:val="0"/>
          <w:sz w:val="28"/>
          <w:szCs w:val="28"/>
        </w:rPr>
        <w:t>甲醇的</w:t>
      </w:r>
      <w:r>
        <w:rPr>
          <w:rFonts w:eastAsiaTheme="minorEastAsia"/>
          <w:color w:val="000000" w:themeColor="text1"/>
          <w:sz w:val="28"/>
          <w:szCs w:val="28"/>
        </w:rPr>
        <w:t>管道进行维护、保养以及未及时更换老化或损坏的管道、管道与其对应储罐等设施及设备连接处密封垫失效、损坏和作业人员缺乏安全知识或其未执行安全操作规程等均有可能引发泄漏危险。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3</w:t>
      </w:r>
      <w:r>
        <w:rPr>
          <w:rFonts w:hint="eastAsia" w:eastAsiaTheme="minorEastAsia"/>
          <w:color w:val="000000" w:themeColor="text1"/>
          <w:sz w:val="28"/>
          <w:szCs w:val="28"/>
        </w:rPr>
        <w:t>.</w:t>
      </w:r>
      <w:r>
        <w:rPr>
          <w:rFonts w:eastAsiaTheme="minorEastAsia"/>
          <w:color w:val="000000" w:themeColor="text1"/>
          <w:sz w:val="28"/>
          <w:szCs w:val="28"/>
        </w:rPr>
        <w:t>发生火灾、检修、安装作业时未及时清除甲醇管道中的余料，或作业人员缺乏安全知识，穿带铁钉鞋进行作业或未执行安全操作规程等均有可能引发火灾、爆炸危险。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4</w:t>
      </w:r>
      <w:r>
        <w:rPr>
          <w:rFonts w:hint="eastAsia" w:eastAsiaTheme="minorEastAsia"/>
          <w:color w:val="000000" w:themeColor="text1"/>
          <w:sz w:val="28"/>
          <w:szCs w:val="28"/>
        </w:rPr>
        <w:t>.</w:t>
      </w:r>
      <w:r>
        <w:rPr>
          <w:rFonts w:eastAsiaTheme="minorEastAsia"/>
          <w:color w:val="000000" w:themeColor="text1"/>
          <w:sz w:val="28"/>
          <w:szCs w:val="28"/>
        </w:rPr>
        <w:t>甲醇输送管道的防雷防静电接地体电阻值超标，接地体材质缺陷等可能会引发雷电危害、静电危害而造成火灾危险。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5</w:t>
      </w:r>
      <w:r>
        <w:rPr>
          <w:rFonts w:hint="eastAsia" w:eastAsiaTheme="minorEastAsia"/>
          <w:color w:val="000000" w:themeColor="text1"/>
          <w:sz w:val="28"/>
          <w:szCs w:val="28"/>
        </w:rPr>
        <w:t>.</w:t>
      </w:r>
      <w:r>
        <w:rPr>
          <w:rFonts w:eastAsiaTheme="minorEastAsia"/>
          <w:color w:val="000000" w:themeColor="text1"/>
          <w:sz w:val="28"/>
          <w:szCs w:val="28"/>
        </w:rPr>
        <w:t>甲醇输送管道与其相邻建（构）筑物、设备的防火间距不足，或不足混乱等还可能受周边环境的影响进而发生火灾、其他爆炸危险。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6</w:t>
      </w:r>
      <w:r>
        <w:rPr>
          <w:rFonts w:hint="eastAsia" w:eastAsiaTheme="minorEastAsia"/>
          <w:color w:val="000000" w:themeColor="text1"/>
          <w:sz w:val="28"/>
          <w:szCs w:val="28"/>
        </w:rPr>
        <w:t>.</w:t>
      </w:r>
      <w:r>
        <w:rPr>
          <w:rFonts w:eastAsiaTheme="minorEastAsia"/>
          <w:color w:val="000000" w:themeColor="text1"/>
          <w:sz w:val="28"/>
          <w:szCs w:val="28"/>
        </w:rPr>
        <w:t>甲醇分装、卸车过程中如甲醇储罐的进出口管道处未设置紧急切断阀或失效可能导致紧急状态（如甲醇大量泄漏）下事故得不到迅速控制，既而导致事故影响和等级扩大。</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7</w:t>
      </w:r>
      <w:r>
        <w:rPr>
          <w:rFonts w:hint="eastAsia" w:eastAsiaTheme="minorEastAsia"/>
          <w:color w:val="000000" w:themeColor="text1"/>
          <w:sz w:val="28"/>
          <w:szCs w:val="28"/>
        </w:rPr>
        <w:t>.</w:t>
      </w:r>
      <w:r>
        <w:rPr>
          <w:rFonts w:eastAsiaTheme="minorEastAsia"/>
          <w:color w:val="000000" w:themeColor="text1"/>
          <w:sz w:val="28"/>
          <w:szCs w:val="28"/>
        </w:rPr>
        <w:t>甲醇储罐区、装卸区未设置视频监控，或设置时，视频监控系统设置不完善，各区域监控摄像头设置不足或视频监控终端部不能有效显示等有可能因不能对各区车辆或人员以及储罐区、汽车装卸车区作业人员进行及时监控而引发火灾、中毒、车辆伤害等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8</w:t>
      </w:r>
      <w:r>
        <w:rPr>
          <w:rFonts w:hint="eastAsia" w:eastAsiaTheme="minorEastAsia"/>
          <w:color w:val="000000" w:themeColor="text1"/>
          <w:sz w:val="28"/>
          <w:szCs w:val="28"/>
        </w:rPr>
        <w:t>.</w:t>
      </w:r>
      <w:r>
        <w:rPr>
          <w:rFonts w:eastAsiaTheme="minorEastAsia"/>
          <w:color w:val="000000" w:themeColor="text1"/>
          <w:sz w:val="28"/>
          <w:szCs w:val="28"/>
        </w:rPr>
        <w:t>如发生停电或通讯系统故障，也可能会对甲醇储存系统设备、设施运行产生一定的危险性。</w:t>
      </w:r>
    </w:p>
    <w:p>
      <w:pPr>
        <w:pStyle w:val="19"/>
        <w:spacing w:afterLines="100" w:line="500" w:lineRule="exact"/>
        <w:rPr>
          <w:rFonts w:ascii="黑体" w:hAnsi="宋体" w:eastAsia="黑体"/>
          <w:color w:val="000000" w:themeColor="text1"/>
          <w:kern w:val="3"/>
          <w:sz w:val="28"/>
          <w:szCs w:val="28"/>
        </w:rPr>
      </w:pPr>
      <w:bookmarkStart w:id="1105" w:name="_Toc6425"/>
      <w:bookmarkStart w:id="1106" w:name="_Toc2300"/>
      <w:bookmarkStart w:id="1107" w:name="_Toc17393"/>
      <w:bookmarkStart w:id="1108" w:name="_Toc16176"/>
      <w:bookmarkStart w:id="1109" w:name="_Toc7567"/>
      <w:bookmarkStart w:id="1110" w:name="_Toc6871"/>
      <w:bookmarkStart w:id="1111" w:name="_Toc10823"/>
      <w:bookmarkStart w:id="1112" w:name="_Toc16797"/>
      <w:bookmarkStart w:id="1113" w:name="_Toc24885"/>
      <w:bookmarkStart w:id="1114" w:name="_Toc1007"/>
      <w:r>
        <w:rPr>
          <w:rFonts w:hint="eastAsia" w:ascii="黑体" w:hAnsi="宋体" w:eastAsia="黑体"/>
          <w:color w:val="000000" w:themeColor="text1"/>
          <w:kern w:val="3"/>
          <w:sz w:val="28"/>
          <w:szCs w:val="28"/>
        </w:rPr>
        <w:t>3.5.4 公辅设施危险性分析</w:t>
      </w:r>
      <w:bookmarkEnd w:id="1105"/>
      <w:bookmarkEnd w:id="1106"/>
      <w:bookmarkEnd w:id="1107"/>
      <w:bookmarkEnd w:id="1108"/>
      <w:bookmarkEnd w:id="1109"/>
      <w:bookmarkEnd w:id="1110"/>
      <w:bookmarkEnd w:id="1111"/>
      <w:bookmarkEnd w:id="1112"/>
      <w:bookmarkEnd w:id="1113"/>
      <w:bookmarkEnd w:id="1114"/>
    </w:p>
    <w:p>
      <w:pPr>
        <w:pStyle w:val="19"/>
        <w:spacing w:afterLines="100" w:line="500" w:lineRule="exact"/>
        <w:rPr>
          <w:rFonts w:ascii="黑体" w:hAnsi="宋体" w:eastAsia="黑体"/>
          <w:color w:val="000000" w:themeColor="text1"/>
          <w:kern w:val="3"/>
          <w:sz w:val="28"/>
          <w:szCs w:val="28"/>
        </w:rPr>
      </w:pPr>
      <w:bookmarkStart w:id="1115" w:name="_Toc71558476"/>
      <w:bookmarkStart w:id="1116" w:name="_Toc12149"/>
      <w:bookmarkStart w:id="1117" w:name="_Toc21135"/>
      <w:bookmarkStart w:id="1118" w:name="_Toc71710909"/>
      <w:bookmarkStart w:id="1119" w:name="_Toc2761"/>
      <w:bookmarkStart w:id="1120" w:name="_Toc32721"/>
      <w:r>
        <w:rPr>
          <w:rFonts w:hint="eastAsia" w:ascii="黑体" w:hAnsi="宋体" w:eastAsia="黑体"/>
          <w:color w:val="000000" w:themeColor="text1"/>
          <w:kern w:val="3"/>
          <w:sz w:val="28"/>
          <w:szCs w:val="28"/>
        </w:rPr>
        <w:t>3.5.4.1供配电系统危险性分析</w:t>
      </w:r>
      <w:bookmarkEnd w:id="1115"/>
      <w:bookmarkEnd w:id="1116"/>
      <w:bookmarkEnd w:id="1117"/>
      <w:bookmarkEnd w:id="1118"/>
      <w:bookmarkEnd w:id="1119"/>
      <w:bookmarkEnd w:id="1120"/>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该项目供配电系统主要包括电缆线、照明灯具等，各供配电系统主要存在触电、电气火灾等危险。</w:t>
      </w:r>
    </w:p>
    <w:p>
      <w:pPr>
        <w:tabs>
          <w:tab w:val="left" w:pos="3900"/>
        </w:tabs>
        <w:adjustRightInd w:val="0"/>
        <w:snapToGrid w:val="0"/>
        <w:spacing w:line="500" w:lineRule="exact"/>
        <w:ind w:firstLine="562" w:firstLineChars="200"/>
        <w:rPr>
          <w:rFonts w:eastAsiaTheme="minorEastAsia"/>
          <w:b/>
          <w:bCs/>
          <w:color w:val="000000" w:themeColor="text1"/>
          <w:sz w:val="28"/>
          <w:szCs w:val="28"/>
        </w:rPr>
      </w:pPr>
      <w:bookmarkStart w:id="1121" w:name="_Toc19184"/>
      <w:r>
        <w:rPr>
          <w:rFonts w:eastAsiaTheme="minorEastAsia"/>
          <w:b/>
          <w:bCs/>
          <w:color w:val="000000" w:themeColor="text1"/>
          <w:sz w:val="28"/>
          <w:szCs w:val="28"/>
        </w:rPr>
        <w:t>1</w:t>
      </w:r>
      <w:r>
        <w:rPr>
          <w:rFonts w:hint="eastAsia" w:eastAsiaTheme="minorEastAsia"/>
          <w:b/>
          <w:bCs/>
          <w:color w:val="000000" w:themeColor="text1"/>
          <w:sz w:val="28"/>
          <w:szCs w:val="28"/>
        </w:rPr>
        <w:t>.</w:t>
      </w:r>
      <w:r>
        <w:rPr>
          <w:rFonts w:eastAsiaTheme="minorEastAsia"/>
          <w:b/>
          <w:bCs/>
          <w:color w:val="000000" w:themeColor="text1"/>
          <w:sz w:val="28"/>
          <w:szCs w:val="28"/>
        </w:rPr>
        <w:t>电气线路危险性分析</w:t>
      </w:r>
      <w:bookmarkEnd w:id="1121"/>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1）电气设施安装不符合规范，运行中发生短路、过电压、接地故障、接触失灵等均有可能产生电气火花、电弧或过热等，若防护不当，可能发生电气火灾或引燃周围的可燃物质。</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2）罐区等处各处电气线路安装、架设不当，或运行环境差、安全措施不完备，未定期维护、违章操作和保护失灵等原因，若人体不慎触及带电体或过分靠近带电部分均有可能发生电击、电灼伤等触电危险。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3）架空电缆长期受水、酸碱腐蚀使保护层破坏，绝缘强度降低，引起电缆短路起火。</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4）电气线路本身存在缺陷，在敷设时未设保护层或在运行中电气线路绝缘受到机械损伤，引起电气线路之间绝缘击穿而发生电弧。电弧高温能引燃电缆内的绝缘材料和电缆外层的麻布等。</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5）电气线路绝缘材料腐蚀受损或机械受损等脱落后，人员赤身接触导电线。</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6）长时间运行中，由于过负荷、过热等原因使电气线路绝缘加速老化，绝缘强度降低，引起电气线路相间或对地击穿短路起火。</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7）电缆终端接头和中间接头接触不良发生短路事故，引起电缆着火。</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8）开关设备及其他电气设备短路或接触电阻过大产生高温起火将附近电缆引燃和检修时高温焊渣等掉到电缆上引起着火或其他可燃、易燃物品着火后将附近电缆引燃。</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9）电气设备及线路的日常管理、维护不当，电气设备、线路老化、绝缘破损、漏电且无接地接零保护。</w:t>
      </w:r>
    </w:p>
    <w:p>
      <w:pPr>
        <w:tabs>
          <w:tab w:val="left" w:pos="3900"/>
        </w:tabs>
        <w:adjustRightInd w:val="0"/>
        <w:snapToGrid w:val="0"/>
        <w:spacing w:line="500" w:lineRule="exact"/>
        <w:ind w:firstLine="562" w:firstLineChars="200"/>
        <w:rPr>
          <w:rFonts w:eastAsiaTheme="minorEastAsia"/>
          <w:b/>
          <w:color w:val="000000" w:themeColor="text1"/>
          <w:sz w:val="28"/>
          <w:szCs w:val="28"/>
        </w:rPr>
      </w:pPr>
      <w:bookmarkStart w:id="1122" w:name="_Toc11328"/>
      <w:r>
        <w:rPr>
          <w:rFonts w:eastAsiaTheme="minorEastAsia"/>
          <w:b/>
          <w:bCs/>
          <w:color w:val="000000" w:themeColor="text1"/>
          <w:sz w:val="28"/>
          <w:szCs w:val="28"/>
        </w:rPr>
        <w:t>2</w:t>
      </w:r>
      <w:r>
        <w:rPr>
          <w:rFonts w:hint="eastAsia" w:eastAsiaTheme="minorEastAsia"/>
          <w:b/>
          <w:bCs/>
          <w:color w:val="000000" w:themeColor="text1"/>
          <w:sz w:val="28"/>
          <w:szCs w:val="28"/>
        </w:rPr>
        <w:t>.</w:t>
      </w:r>
      <w:r>
        <w:rPr>
          <w:rFonts w:eastAsiaTheme="minorEastAsia"/>
          <w:b/>
          <w:bCs/>
          <w:color w:val="000000" w:themeColor="text1"/>
          <w:sz w:val="28"/>
          <w:szCs w:val="28"/>
        </w:rPr>
        <w:t>其它电气设备危险性分析</w:t>
      </w:r>
      <w:bookmarkEnd w:id="1122"/>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1）罐区等爆炸危险区域的灯具、开关等电气设备不防爆或防爆等级不足、失效等易造成火灾爆炸危险。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2）罐区等处未设事故应急照明，特别是在晚上发生泄漏、中毒等事故时，可能会因突然停电，给操作等人员造成撤离、疏散困难而造成更大程度的危害。</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3）电气设备及线路的日常管理、维护不当，电气设备、线路老化、绝缘破损、漏电。</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4）电器开关损坏、漏电，超标使用保险丝、空气开关等。</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5）条件不允许而带电作业或施工中误合电闸送电。</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6）断路器失效、设备无接地接零或失效，作业人员缺乏用电常识等</w:t>
      </w:r>
    </w:p>
    <w:p>
      <w:pPr>
        <w:pStyle w:val="19"/>
        <w:spacing w:afterLines="100" w:line="500" w:lineRule="exact"/>
        <w:rPr>
          <w:rFonts w:ascii="黑体" w:hAnsi="宋体" w:eastAsia="黑体"/>
          <w:color w:val="000000" w:themeColor="text1"/>
          <w:kern w:val="3"/>
          <w:sz w:val="28"/>
          <w:szCs w:val="28"/>
        </w:rPr>
      </w:pPr>
      <w:bookmarkStart w:id="1123" w:name="_Toc16111"/>
      <w:bookmarkStart w:id="1124" w:name="_Toc71558477"/>
      <w:bookmarkStart w:id="1125" w:name="_Toc9008"/>
      <w:bookmarkStart w:id="1126" w:name="_Toc29694"/>
      <w:bookmarkStart w:id="1127" w:name="_Toc71710910"/>
      <w:bookmarkStart w:id="1128" w:name="_Toc3197"/>
      <w:r>
        <w:rPr>
          <w:rFonts w:hint="eastAsia" w:ascii="黑体" w:hAnsi="宋体" w:eastAsia="黑体"/>
          <w:color w:val="000000" w:themeColor="text1"/>
          <w:kern w:val="3"/>
          <w:sz w:val="28"/>
          <w:szCs w:val="28"/>
        </w:rPr>
        <w:t>3.5.4.2给排水系统危险性分析</w:t>
      </w:r>
      <w:bookmarkEnd w:id="1123"/>
      <w:bookmarkEnd w:id="1124"/>
      <w:bookmarkEnd w:id="1125"/>
      <w:bookmarkEnd w:id="1126"/>
      <w:bookmarkEnd w:id="1127"/>
      <w:bookmarkEnd w:id="1128"/>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该项目给水主要是生活用水和消防用水，排水主要是雨水和含油污水，其给排水系统主要存在以下危险：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1</w:t>
      </w:r>
      <w:r>
        <w:rPr>
          <w:rFonts w:hint="eastAsia" w:eastAsiaTheme="minorEastAsia"/>
          <w:color w:val="000000" w:themeColor="text1"/>
          <w:sz w:val="28"/>
          <w:szCs w:val="28"/>
        </w:rPr>
        <w:t>.</w:t>
      </w:r>
      <w:r>
        <w:rPr>
          <w:rFonts w:eastAsiaTheme="minorEastAsia"/>
          <w:color w:val="000000" w:themeColor="text1"/>
          <w:sz w:val="28"/>
          <w:szCs w:val="28"/>
        </w:rPr>
        <w:t>项目罐区、装卸区消防用水供给供给不足，如运行中出现甲醇泄漏、火灾等紧急事故需要消防水处理时，如出现断水、消防水源供水不足或供水水压较小等，会导致事故未能及时得到控制，造成事故范围进一步扩大。</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2</w:t>
      </w:r>
      <w:r>
        <w:rPr>
          <w:rFonts w:hint="eastAsia" w:eastAsiaTheme="minorEastAsia"/>
          <w:color w:val="000000" w:themeColor="text1"/>
          <w:sz w:val="28"/>
          <w:szCs w:val="28"/>
        </w:rPr>
        <w:t>.</w:t>
      </w:r>
      <w:r>
        <w:rPr>
          <w:rFonts w:eastAsiaTheme="minorEastAsia"/>
          <w:color w:val="000000" w:themeColor="text1"/>
          <w:sz w:val="28"/>
          <w:szCs w:val="28"/>
        </w:rPr>
        <w:t>罐区未设置隔油池或设置的事故池失效，导致罐区含油污水排出后，遇到点火源，致使外部点火源随油污回燃至罐区，引发火灾事故。</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3</w:t>
      </w:r>
      <w:r>
        <w:rPr>
          <w:rFonts w:hint="eastAsia" w:eastAsiaTheme="minorEastAsia"/>
          <w:color w:val="000000" w:themeColor="text1"/>
          <w:sz w:val="28"/>
          <w:szCs w:val="28"/>
        </w:rPr>
        <w:t>.</w:t>
      </w:r>
      <w:r>
        <w:rPr>
          <w:rFonts w:eastAsiaTheme="minorEastAsia"/>
          <w:color w:val="000000" w:themeColor="text1"/>
          <w:sz w:val="28"/>
          <w:szCs w:val="28"/>
        </w:rPr>
        <w:t>罐区、装卸区靠近边坡处未设有效排水设施，在暴雨天气时，排水设施不起作用，有可能造成罐区、装卸边坡滑坡而造成甲醇储存、装卸系统设备、设施损坏以及建（构）筑物倾倒、坍塌危险。</w:t>
      </w:r>
    </w:p>
    <w:p>
      <w:pPr>
        <w:pStyle w:val="19"/>
        <w:spacing w:afterLines="100" w:line="500" w:lineRule="exact"/>
        <w:rPr>
          <w:rFonts w:ascii="黑体" w:hAnsi="宋体" w:eastAsia="黑体"/>
          <w:color w:val="000000" w:themeColor="text1"/>
          <w:kern w:val="3"/>
          <w:sz w:val="28"/>
          <w:szCs w:val="28"/>
        </w:rPr>
      </w:pPr>
      <w:bookmarkStart w:id="1129" w:name="_Toc29862"/>
      <w:bookmarkStart w:id="1130" w:name="_Toc17049"/>
      <w:bookmarkStart w:id="1131" w:name="_Toc19004"/>
      <w:bookmarkStart w:id="1132" w:name="_Toc752"/>
      <w:bookmarkStart w:id="1133" w:name="_Toc71558478"/>
      <w:bookmarkStart w:id="1134" w:name="_Toc71710911"/>
      <w:r>
        <w:rPr>
          <w:rFonts w:hint="eastAsia" w:ascii="黑体" w:hAnsi="宋体" w:eastAsia="黑体"/>
          <w:color w:val="000000" w:themeColor="text1"/>
          <w:kern w:val="3"/>
          <w:sz w:val="28"/>
          <w:szCs w:val="28"/>
        </w:rPr>
        <w:t>3.5.4.3消防系统危险性分析</w:t>
      </w:r>
      <w:bookmarkEnd w:id="1129"/>
      <w:bookmarkEnd w:id="1130"/>
      <w:bookmarkEnd w:id="1131"/>
      <w:bookmarkEnd w:id="1132"/>
      <w:bookmarkEnd w:id="1133"/>
      <w:bookmarkEnd w:id="1134"/>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该项目消防系统主要由消防水栓、灭火器、消防沙以及消防队伍等组成，其消防系统主要存在以下危险：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1</w:t>
      </w:r>
      <w:r>
        <w:rPr>
          <w:rFonts w:hint="eastAsia" w:eastAsiaTheme="minorEastAsia"/>
          <w:color w:val="000000" w:themeColor="text1"/>
          <w:sz w:val="28"/>
          <w:szCs w:val="28"/>
        </w:rPr>
        <w:t>.</w:t>
      </w:r>
      <w:r>
        <w:rPr>
          <w:rFonts w:eastAsiaTheme="minorEastAsia"/>
          <w:color w:val="000000" w:themeColor="text1"/>
          <w:sz w:val="28"/>
          <w:szCs w:val="28"/>
        </w:rPr>
        <w:t>甲醇罐区、装卸区消防器材配置不足或因维护、保养不当、使用后未及时充装、恢复或排放位置不合理或被盗等原因导致火灾等事故发生时延误救援，使事故进一步扩大。</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2</w:t>
      </w:r>
      <w:r>
        <w:rPr>
          <w:rFonts w:hint="eastAsia" w:eastAsiaTheme="minorEastAsia"/>
          <w:color w:val="000000" w:themeColor="text1"/>
          <w:sz w:val="28"/>
          <w:szCs w:val="28"/>
        </w:rPr>
        <w:t>.</w:t>
      </w:r>
      <w:r>
        <w:rPr>
          <w:rFonts w:eastAsiaTheme="minorEastAsia"/>
          <w:color w:val="000000" w:themeColor="text1"/>
          <w:sz w:val="28"/>
          <w:szCs w:val="28"/>
        </w:rPr>
        <w:t>甲醇罐区、装卸区消防水管网为厂区原有，如不能覆盖项目区，或对应供水时间不能满足规范要求，各区域出现火灾等紧急事故需用消防水处理时，如出现供水不足，供水压力较小或断水等现象时，会导致事故范围进一步扩大。</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3</w:t>
      </w:r>
      <w:r>
        <w:rPr>
          <w:rFonts w:hint="eastAsia" w:eastAsiaTheme="minorEastAsia"/>
          <w:color w:val="000000" w:themeColor="text1"/>
          <w:sz w:val="28"/>
          <w:szCs w:val="28"/>
        </w:rPr>
        <w:t>.</w:t>
      </w:r>
      <w:r>
        <w:rPr>
          <w:rFonts w:eastAsiaTheme="minorEastAsia"/>
          <w:color w:val="000000" w:themeColor="text1"/>
          <w:sz w:val="28"/>
          <w:szCs w:val="28"/>
        </w:rPr>
        <w:t>未定期对各区域消防栓、消防水道进行检查，如消防栓破损，消防水道不通，如发生火灾等事故时，未能及时扑灭初期火灾而事故范围扩大。</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4</w:t>
      </w:r>
      <w:r>
        <w:rPr>
          <w:rFonts w:hint="eastAsia" w:eastAsiaTheme="minorEastAsia"/>
          <w:color w:val="000000" w:themeColor="text1"/>
          <w:sz w:val="28"/>
          <w:szCs w:val="28"/>
        </w:rPr>
        <w:t>.</w:t>
      </w:r>
      <w:r>
        <w:rPr>
          <w:rFonts w:eastAsiaTheme="minorEastAsia"/>
          <w:color w:val="000000" w:themeColor="text1"/>
          <w:sz w:val="28"/>
          <w:szCs w:val="28"/>
        </w:rPr>
        <w:t>当项目各区发生的火灾、其他爆炸事故，消防应急救援人员施救不当或不在消防应急救援人员的控制范围内时，而依托的外部消防力量，因未能及时到达等其他原因，延误救援时机，导致事故进一步扩大。</w:t>
      </w:r>
    </w:p>
    <w:p>
      <w:pPr>
        <w:pStyle w:val="19"/>
        <w:spacing w:afterLines="100" w:line="500" w:lineRule="exact"/>
        <w:rPr>
          <w:rFonts w:ascii="黑体" w:hAnsi="宋体" w:eastAsia="黑体"/>
          <w:color w:val="000000" w:themeColor="text1"/>
          <w:kern w:val="3"/>
          <w:sz w:val="28"/>
          <w:szCs w:val="28"/>
        </w:rPr>
      </w:pPr>
      <w:bookmarkStart w:id="1135" w:name="_Toc30460"/>
      <w:bookmarkStart w:id="1136" w:name="_Toc13950"/>
      <w:bookmarkStart w:id="1137" w:name="_Toc26766"/>
      <w:bookmarkStart w:id="1138" w:name="_Toc28569"/>
      <w:bookmarkStart w:id="1139" w:name="_Toc22549"/>
      <w:bookmarkStart w:id="1140" w:name="_Toc3695"/>
      <w:bookmarkStart w:id="1141" w:name="_Toc10065"/>
      <w:bookmarkStart w:id="1142" w:name="_Toc24321"/>
      <w:bookmarkStart w:id="1143" w:name="_Toc22542"/>
      <w:bookmarkStart w:id="1144" w:name="_Toc13426"/>
      <w:r>
        <w:rPr>
          <w:rFonts w:hint="eastAsia" w:ascii="黑体" w:hAnsi="宋体" w:eastAsia="黑体"/>
          <w:color w:val="000000" w:themeColor="text1"/>
          <w:kern w:val="3"/>
          <w:sz w:val="28"/>
          <w:szCs w:val="28"/>
        </w:rPr>
        <w:t>3.5.5 主要作业过程危险性分析</w:t>
      </w:r>
      <w:bookmarkEnd w:id="1135"/>
      <w:bookmarkEnd w:id="1136"/>
      <w:bookmarkEnd w:id="1137"/>
      <w:bookmarkEnd w:id="1138"/>
      <w:bookmarkEnd w:id="1139"/>
      <w:bookmarkEnd w:id="1140"/>
      <w:bookmarkEnd w:id="1141"/>
      <w:bookmarkEnd w:id="1142"/>
      <w:bookmarkEnd w:id="1143"/>
      <w:bookmarkEnd w:id="1144"/>
    </w:p>
    <w:p>
      <w:pPr>
        <w:pStyle w:val="19"/>
        <w:spacing w:afterLines="100" w:line="500" w:lineRule="exact"/>
        <w:rPr>
          <w:rFonts w:ascii="黑体" w:hAnsi="宋体" w:eastAsia="黑体"/>
          <w:color w:val="000000" w:themeColor="text1"/>
          <w:kern w:val="3"/>
          <w:sz w:val="28"/>
          <w:szCs w:val="28"/>
        </w:rPr>
      </w:pPr>
      <w:bookmarkStart w:id="1145" w:name="_Toc71710913"/>
      <w:bookmarkStart w:id="1146" w:name="_Toc8372"/>
      <w:bookmarkStart w:id="1147" w:name="_Toc20974"/>
      <w:bookmarkStart w:id="1148" w:name="_Toc28452"/>
      <w:bookmarkStart w:id="1149" w:name="_Toc19369"/>
      <w:bookmarkStart w:id="1150" w:name="_Toc71558480"/>
      <w:r>
        <w:rPr>
          <w:rFonts w:hint="eastAsia" w:ascii="黑体" w:hAnsi="宋体" w:eastAsia="黑体"/>
          <w:color w:val="000000" w:themeColor="text1"/>
          <w:kern w:val="3"/>
          <w:sz w:val="28"/>
          <w:szCs w:val="28"/>
        </w:rPr>
        <w:t>3.5.5.1 甲醇卸车过程危险性分析</w:t>
      </w:r>
      <w:bookmarkEnd w:id="1145"/>
      <w:bookmarkEnd w:id="1146"/>
      <w:bookmarkEnd w:id="1147"/>
      <w:bookmarkEnd w:id="1148"/>
      <w:bookmarkEnd w:id="1149"/>
      <w:bookmarkEnd w:id="1150"/>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1</w:t>
      </w:r>
      <w:r>
        <w:rPr>
          <w:rFonts w:hint="eastAsia" w:eastAsiaTheme="minorEastAsia"/>
          <w:color w:val="000000" w:themeColor="text1"/>
          <w:sz w:val="28"/>
          <w:szCs w:val="28"/>
        </w:rPr>
        <w:t>.</w:t>
      </w:r>
      <w:r>
        <w:rPr>
          <w:rFonts w:eastAsiaTheme="minorEastAsia"/>
          <w:color w:val="000000" w:themeColor="text1"/>
          <w:sz w:val="28"/>
          <w:szCs w:val="28"/>
        </w:rPr>
        <w:t>甲醇储罐设置的液位计存在缺陷，未实现远传或卸车时对液位监测不及时、快速接头紧固栓松动等原因，均可能造成跑冒，引起泄漏。</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2</w:t>
      </w:r>
      <w:r>
        <w:rPr>
          <w:rFonts w:hint="eastAsia" w:eastAsiaTheme="minorEastAsia"/>
          <w:color w:val="000000" w:themeColor="text1"/>
          <w:sz w:val="28"/>
          <w:szCs w:val="28"/>
        </w:rPr>
        <w:t>.</w:t>
      </w:r>
      <w:r>
        <w:rPr>
          <w:rFonts w:eastAsiaTheme="minorEastAsia"/>
          <w:color w:val="000000" w:themeColor="text1"/>
          <w:sz w:val="28"/>
          <w:szCs w:val="28"/>
        </w:rPr>
        <w:t>卸车作业人员教育培训不到位，安全意识差，卸车管道与卸车口连接不当等，导致大量油蒸气溢出而引发火灾、中毒窒息、化学灼伤等危险。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3</w:t>
      </w:r>
      <w:r>
        <w:rPr>
          <w:rFonts w:hint="eastAsia" w:eastAsiaTheme="minorEastAsia"/>
          <w:color w:val="000000" w:themeColor="text1"/>
          <w:sz w:val="28"/>
          <w:szCs w:val="28"/>
        </w:rPr>
        <w:t>.</w:t>
      </w:r>
      <w:r>
        <w:rPr>
          <w:rFonts w:eastAsiaTheme="minorEastAsia"/>
          <w:color w:val="000000" w:themeColor="text1"/>
          <w:sz w:val="28"/>
          <w:szCs w:val="28"/>
        </w:rPr>
        <w:t>卸油时采用喷溅式、卸油中罐车无静电接地等均有可能造成静电积聚放电，点燃油蒸气，引起火灾、其他爆炸事故。</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4</w:t>
      </w:r>
      <w:r>
        <w:rPr>
          <w:rFonts w:hint="eastAsia" w:eastAsiaTheme="minorEastAsia"/>
          <w:color w:val="000000" w:themeColor="text1"/>
          <w:sz w:val="28"/>
          <w:szCs w:val="28"/>
        </w:rPr>
        <w:t>.</w:t>
      </w:r>
      <w:r>
        <w:rPr>
          <w:rFonts w:eastAsiaTheme="minorEastAsia"/>
          <w:color w:val="000000" w:themeColor="text1"/>
          <w:sz w:val="28"/>
          <w:szCs w:val="28"/>
        </w:rPr>
        <w:t>未结合甲醇储罐的设置而设置卸车防溢阀或其未与储罐液位未实现报警联锁设置，在卸车过程中，如作业人员疏忽大意等有可能造成满罐而引发大量泄漏危险。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5</w:t>
      </w:r>
      <w:r>
        <w:rPr>
          <w:rFonts w:hint="eastAsia" w:eastAsiaTheme="minorEastAsia"/>
          <w:color w:val="000000" w:themeColor="text1"/>
          <w:sz w:val="28"/>
          <w:szCs w:val="28"/>
        </w:rPr>
        <w:t>.</w:t>
      </w:r>
      <w:r>
        <w:rPr>
          <w:rFonts w:eastAsiaTheme="minorEastAsia"/>
          <w:color w:val="000000" w:themeColor="text1"/>
          <w:sz w:val="28"/>
          <w:szCs w:val="28"/>
        </w:rPr>
        <w:t>卸车区未设置有效车档，无相应安全警示措施等还可能会引发车辆伤害，如卸车未完时，还会造成甲醇泄漏。</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6</w:t>
      </w:r>
      <w:r>
        <w:rPr>
          <w:rFonts w:hint="eastAsia" w:eastAsiaTheme="minorEastAsia"/>
          <w:color w:val="000000" w:themeColor="text1"/>
          <w:sz w:val="28"/>
          <w:szCs w:val="28"/>
        </w:rPr>
        <w:t>.</w:t>
      </w:r>
      <w:r>
        <w:rPr>
          <w:rFonts w:eastAsiaTheme="minorEastAsia"/>
          <w:color w:val="000000" w:themeColor="text1"/>
          <w:sz w:val="28"/>
          <w:szCs w:val="28"/>
        </w:rPr>
        <w:t>卸车时，如发生甲醇泄漏或油蒸气从罐体通气管排出，周围空气中油蒸气的浓度迅速上升，如人员吸入过量的油蒸气，可能引起中毒事故。</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7</w:t>
      </w:r>
      <w:r>
        <w:rPr>
          <w:rFonts w:hint="eastAsia" w:eastAsiaTheme="minorEastAsia"/>
          <w:color w:val="000000" w:themeColor="text1"/>
          <w:sz w:val="28"/>
          <w:szCs w:val="28"/>
        </w:rPr>
        <w:t>.</w:t>
      </w:r>
      <w:r>
        <w:rPr>
          <w:rFonts w:eastAsiaTheme="minorEastAsia"/>
          <w:color w:val="000000" w:themeColor="text1"/>
          <w:sz w:val="28"/>
          <w:szCs w:val="28"/>
        </w:rPr>
        <w:t>其他引发事故的原因，如</w:t>
      </w:r>
      <w:r>
        <w:rPr>
          <w:color w:val="000000" w:themeColor="text1"/>
          <w:sz w:val="28"/>
          <w:szCs w:val="28"/>
        </w:rPr>
        <w:t>卸车过程中，卸车人员缺乏安全知识，在储罐区及输送管线处吸烟、打手机、使用明火等或作业人员违章操作、思想麻痹，如违章操作、穿着化纤服、铁钉鞋等均可增加发生火灾等事故的几率。</w:t>
      </w:r>
    </w:p>
    <w:p>
      <w:pPr>
        <w:pStyle w:val="19"/>
        <w:spacing w:afterLines="100" w:line="500" w:lineRule="exact"/>
        <w:rPr>
          <w:rFonts w:ascii="黑体" w:hAnsi="宋体" w:eastAsia="黑体"/>
          <w:color w:val="000000" w:themeColor="text1"/>
          <w:kern w:val="3"/>
          <w:sz w:val="28"/>
          <w:szCs w:val="28"/>
        </w:rPr>
      </w:pPr>
      <w:bookmarkStart w:id="1151" w:name="_Toc4105"/>
      <w:bookmarkStart w:id="1152" w:name="_Toc26405"/>
      <w:bookmarkStart w:id="1153" w:name="_Toc27907"/>
      <w:bookmarkStart w:id="1154" w:name="_Toc71710914"/>
      <w:bookmarkStart w:id="1155" w:name="_Toc13876"/>
      <w:bookmarkStart w:id="1156" w:name="_Toc71558481"/>
      <w:r>
        <w:rPr>
          <w:rFonts w:hint="eastAsia" w:ascii="黑体" w:hAnsi="宋体" w:eastAsia="黑体"/>
          <w:color w:val="000000" w:themeColor="text1"/>
          <w:kern w:val="3"/>
          <w:sz w:val="28"/>
          <w:szCs w:val="28"/>
        </w:rPr>
        <w:t>3.5.5.2甲醇储存过程危险性分析</w:t>
      </w:r>
      <w:bookmarkEnd w:id="1151"/>
      <w:bookmarkEnd w:id="1152"/>
      <w:bookmarkEnd w:id="1153"/>
      <w:bookmarkEnd w:id="1154"/>
      <w:bookmarkEnd w:id="1155"/>
      <w:bookmarkEnd w:id="1156"/>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1</w:t>
      </w:r>
      <w:r>
        <w:rPr>
          <w:rFonts w:hint="eastAsia" w:eastAsiaTheme="minorEastAsia"/>
          <w:color w:val="000000" w:themeColor="text1"/>
          <w:sz w:val="28"/>
          <w:szCs w:val="28"/>
        </w:rPr>
        <w:t>.</w:t>
      </w:r>
      <w:r>
        <w:rPr>
          <w:rFonts w:eastAsiaTheme="minorEastAsia"/>
          <w:color w:val="000000" w:themeColor="text1"/>
          <w:sz w:val="28"/>
          <w:szCs w:val="28"/>
        </w:rPr>
        <w:t>进入甲醇罐区人员违章使用易产生火花工具、吸烟、扔烟头、使用明火，穿带铁钉鞋子等均可能会引发火灾危险。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2</w:t>
      </w:r>
      <w:r>
        <w:rPr>
          <w:rFonts w:hint="eastAsia" w:eastAsiaTheme="minorEastAsia"/>
          <w:color w:val="000000" w:themeColor="text1"/>
          <w:sz w:val="28"/>
          <w:szCs w:val="28"/>
        </w:rPr>
        <w:t>.</w:t>
      </w:r>
      <w:r>
        <w:rPr>
          <w:rFonts w:eastAsiaTheme="minorEastAsia"/>
          <w:color w:val="000000" w:themeColor="text1"/>
          <w:sz w:val="28"/>
          <w:szCs w:val="28"/>
        </w:rPr>
        <w:t>甲醇罐区的死角或低洼处有油蒸汽集聚、罐区未设置风向标、作业人员未穿戴有效的劳动防护用品等均可能会引发火灾、中毒窒息危险。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3</w:t>
      </w:r>
      <w:r>
        <w:rPr>
          <w:rFonts w:hint="eastAsia" w:eastAsiaTheme="minorEastAsia"/>
          <w:color w:val="000000" w:themeColor="text1"/>
          <w:sz w:val="28"/>
          <w:szCs w:val="28"/>
        </w:rPr>
        <w:t>.</w:t>
      </w:r>
      <w:r>
        <w:rPr>
          <w:rFonts w:eastAsiaTheme="minorEastAsia"/>
          <w:color w:val="000000" w:themeColor="text1"/>
          <w:sz w:val="28"/>
          <w:szCs w:val="28"/>
        </w:rPr>
        <w:t>罐区电气线路未穿管或埋地敷设时未按规范要求设置可能会引发火灾、触电事故。</w:t>
      </w:r>
    </w:p>
    <w:p>
      <w:pPr>
        <w:pStyle w:val="5"/>
        <w:keepLines w:val="0"/>
        <w:adjustRightInd w:val="0"/>
        <w:snapToGrid w:val="0"/>
        <w:spacing w:before="0" w:after="0" w:line="500" w:lineRule="exact"/>
        <w:rPr>
          <w:rFonts w:ascii="Times New Roman" w:hAnsi="Times New Roman"/>
          <w:bCs w:val="0"/>
          <w:snapToGrid w:val="0"/>
          <w:color w:val="000000" w:themeColor="text1"/>
          <w:szCs w:val="24"/>
        </w:rPr>
      </w:pPr>
      <w:bookmarkStart w:id="1157" w:name="_Toc19539"/>
      <w:bookmarkStart w:id="1158" w:name="_Toc3105"/>
      <w:bookmarkStart w:id="1159" w:name="_Toc965"/>
      <w:bookmarkStart w:id="1160" w:name="_Toc18119"/>
      <w:bookmarkStart w:id="1161" w:name="_Toc71558482"/>
      <w:bookmarkStart w:id="1162" w:name="_Toc71710915"/>
      <w:r>
        <w:rPr>
          <w:rFonts w:ascii="Times New Roman" w:hAnsi="Times New Roman"/>
          <w:bCs w:val="0"/>
          <w:snapToGrid w:val="0"/>
          <w:color w:val="000000" w:themeColor="text1"/>
          <w:szCs w:val="24"/>
        </w:rPr>
        <w:t>3.5.5.3甲醇分装过程危险性分析</w:t>
      </w:r>
      <w:bookmarkEnd w:id="1157"/>
      <w:bookmarkEnd w:id="1158"/>
      <w:bookmarkEnd w:id="1159"/>
      <w:bookmarkEnd w:id="1160"/>
      <w:bookmarkEnd w:id="1161"/>
      <w:bookmarkEnd w:id="1162"/>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1.</w:t>
      </w:r>
      <w:r>
        <w:rPr>
          <w:rFonts w:eastAsiaTheme="minorEastAsia"/>
          <w:color w:val="000000" w:themeColor="text1"/>
          <w:sz w:val="28"/>
          <w:szCs w:val="28"/>
        </w:rPr>
        <w:t>分装过程中使用的器具没有除静电设施或者作业区内有人员吸烟、使用明火等，遇泄漏甲醇蒸气而引发安全事故。</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2.</w:t>
      </w:r>
      <w:r>
        <w:rPr>
          <w:rFonts w:eastAsiaTheme="minorEastAsia"/>
          <w:color w:val="000000" w:themeColor="text1"/>
          <w:sz w:val="28"/>
          <w:szCs w:val="28"/>
        </w:rPr>
        <w:t>分装作业过程中采用磅秤计量，如磅秤计量不准确，相差过大，会造成装桶过满而造成甲醇外溢危险。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3.</w:t>
      </w:r>
      <w:r>
        <w:rPr>
          <w:rFonts w:eastAsiaTheme="minorEastAsia"/>
          <w:color w:val="000000" w:themeColor="text1"/>
          <w:sz w:val="28"/>
          <w:szCs w:val="28"/>
        </w:rPr>
        <w:t>分装过程中作业人员离岗，会造成装桶过满而造成甲醇外溢危险。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4.</w:t>
      </w:r>
      <w:r>
        <w:rPr>
          <w:rFonts w:eastAsiaTheme="minorEastAsia"/>
          <w:color w:val="000000" w:themeColor="text1"/>
          <w:sz w:val="28"/>
          <w:szCs w:val="28"/>
        </w:rPr>
        <w:t>分装作业时，作业人员违章作业，未佩戴防毒口罩等防护发生中毒等危险。</w:t>
      </w:r>
    </w:p>
    <w:p>
      <w:pPr>
        <w:pStyle w:val="5"/>
        <w:keepLines w:val="0"/>
        <w:adjustRightInd w:val="0"/>
        <w:snapToGrid w:val="0"/>
        <w:spacing w:before="0" w:after="0" w:line="500" w:lineRule="exact"/>
        <w:rPr>
          <w:rFonts w:ascii="Times New Roman" w:hAnsi="Times New Roman"/>
          <w:bCs w:val="0"/>
          <w:snapToGrid w:val="0"/>
          <w:color w:val="000000" w:themeColor="text1"/>
          <w:szCs w:val="24"/>
        </w:rPr>
      </w:pPr>
      <w:bookmarkStart w:id="1163" w:name="_Toc71558483"/>
      <w:bookmarkStart w:id="1164" w:name="_Toc71710916"/>
      <w:bookmarkStart w:id="1165" w:name="_Toc32503"/>
      <w:bookmarkStart w:id="1166" w:name="_Toc10925"/>
      <w:bookmarkStart w:id="1167" w:name="_Toc32454"/>
      <w:bookmarkStart w:id="1168" w:name="_Toc25169"/>
      <w:r>
        <w:rPr>
          <w:rFonts w:ascii="Times New Roman" w:hAnsi="Times New Roman"/>
          <w:bCs w:val="0"/>
          <w:snapToGrid w:val="0"/>
          <w:color w:val="000000" w:themeColor="text1"/>
          <w:szCs w:val="24"/>
        </w:rPr>
        <w:t>3.5.5.4</w:t>
      </w:r>
      <w:bookmarkEnd w:id="1163"/>
      <w:bookmarkEnd w:id="1164"/>
      <w:r>
        <w:rPr>
          <w:rFonts w:ascii="Times New Roman" w:hAnsi="Times New Roman"/>
          <w:bCs w:val="0"/>
          <w:snapToGrid w:val="0"/>
          <w:color w:val="000000" w:themeColor="text1"/>
          <w:szCs w:val="24"/>
        </w:rPr>
        <w:t>甲醇装车过程危险性分析</w:t>
      </w:r>
      <w:bookmarkEnd w:id="1165"/>
      <w:bookmarkEnd w:id="1166"/>
      <w:bookmarkEnd w:id="1167"/>
      <w:bookmarkEnd w:id="1168"/>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1</w:t>
      </w:r>
      <w:r>
        <w:rPr>
          <w:rFonts w:hint="eastAsia" w:eastAsiaTheme="minorEastAsia"/>
          <w:color w:val="000000" w:themeColor="text1"/>
          <w:sz w:val="28"/>
          <w:szCs w:val="28"/>
        </w:rPr>
        <w:t>.</w:t>
      </w:r>
      <w:r>
        <w:rPr>
          <w:rFonts w:eastAsiaTheme="minorEastAsia"/>
          <w:color w:val="000000" w:themeColor="text1"/>
          <w:sz w:val="28"/>
          <w:szCs w:val="28"/>
        </w:rPr>
        <w:t>进入汽车装车区的车辆没有按规定熄火或其排烟管管口未安装阻火器等遇甲醇蒸气而引发火灾等事故。</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2</w:t>
      </w:r>
      <w:r>
        <w:rPr>
          <w:rFonts w:hint="eastAsia" w:eastAsiaTheme="minorEastAsia"/>
          <w:color w:val="000000" w:themeColor="text1"/>
          <w:sz w:val="28"/>
          <w:szCs w:val="28"/>
        </w:rPr>
        <w:t>.</w:t>
      </w:r>
      <w:r>
        <w:rPr>
          <w:rFonts w:eastAsiaTheme="minorEastAsia"/>
          <w:color w:val="000000" w:themeColor="text1"/>
          <w:sz w:val="28"/>
          <w:szCs w:val="28"/>
        </w:rPr>
        <w:t>运输甲醇的车辆无危险化学品运输资质或汽车罐车未定期进行检测，向不合格罐车装车时，有可能发生甲醇泄漏、火灾等危险。</w:t>
      </w:r>
    </w:p>
    <w:p>
      <w:pPr>
        <w:tabs>
          <w:tab w:val="left" w:pos="3900"/>
        </w:tabs>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3</w:t>
      </w:r>
      <w:r>
        <w:rPr>
          <w:rFonts w:hint="eastAsia" w:eastAsiaTheme="minorEastAsia"/>
          <w:color w:val="000000" w:themeColor="text1"/>
          <w:sz w:val="28"/>
          <w:szCs w:val="28"/>
        </w:rPr>
        <w:t>.</w:t>
      </w:r>
      <w:r>
        <w:rPr>
          <w:rFonts w:eastAsiaTheme="minorEastAsia"/>
          <w:color w:val="000000" w:themeColor="text1"/>
          <w:sz w:val="28"/>
          <w:szCs w:val="28"/>
        </w:rPr>
        <w:t>汽车罐车因未采取防溜措施，溜走后，拉断装车管线造成泄漏或装车人员擅离岗位，造成无人操控车辆被撞毁装车设施而发生泄漏。</w:t>
      </w:r>
    </w:p>
    <w:p>
      <w:pPr>
        <w:tabs>
          <w:tab w:val="left" w:pos="3900"/>
        </w:tabs>
        <w:adjustRightInd w:val="0"/>
        <w:snapToGrid w:val="0"/>
        <w:spacing w:line="500" w:lineRule="exact"/>
        <w:ind w:firstLine="560" w:firstLineChars="200"/>
        <w:rPr>
          <w:rFonts w:eastAsiaTheme="minorEastAsia"/>
          <w:color w:val="000000" w:themeColor="text1"/>
          <w:kern w:val="0"/>
          <w:sz w:val="28"/>
          <w:szCs w:val="28"/>
        </w:rPr>
      </w:pPr>
      <w:r>
        <w:rPr>
          <w:rFonts w:eastAsiaTheme="minorEastAsia"/>
          <w:color w:val="000000" w:themeColor="text1"/>
          <w:sz w:val="28"/>
          <w:szCs w:val="28"/>
        </w:rPr>
        <w:t>4</w:t>
      </w:r>
      <w:r>
        <w:rPr>
          <w:rFonts w:hint="eastAsia" w:eastAsiaTheme="minorEastAsia"/>
          <w:color w:val="000000" w:themeColor="text1"/>
          <w:sz w:val="28"/>
          <w:szCs w:val="28"/>
        </w:rPr>
        <w:t>.</w:t>
      </w:r>
      <w:r>
        <w:rPr>
          <w:rFonts w:eastAsiaTheme="minorEastAsia"/>
          <w:color w:val="000000" w:themeColor="text1"/>
          <w:sz w:val="28"/>
          <w:szCs w:val="28"/>
        </w:rPr>
        <w:t>甲醇装车过程中，进入装车区的司机等人员在装车过程中吸烟、使用明火等，遇泄漏甲醇蒸气而引发安全事故。</w:t>
      </w:r>
    </w:p>
    <w:p>
      <w:pPr>
        <w:pStyle w:val="19"/>
        <w:spacing w:afterLines="100" w:line="500" w:lineRule="exact"/>
        <w:rPr>
          <w:rFonts w:ascii="黑体" w:hAnsi="宋体" w:eastAsia="黑体"/>
          <w:color w:val="000000" w:themeColor="text1"/>
          <w:kern w:val="3"/>
          <w:sz w:val="28"/>
          <w:szCs w:val="28"/>
        </w:rPr>
      </w:pPr>
      <w:bookmarkStart w:id="1169" w:name="_Toc3789"/>
      <w:bookmarkStart w:id="1170" w:name="_Toc6810"/>
      <w:bookmarkStart w:id="1171" w:name="_Toc1565"/>
      <w:bookmarkStart w:id="1172" w:name="_Toc27023"/>
      <w:bookmarkStart w:id="1173" w:name="_Toc26837"/>
      <w:bookmarkStart w:id="1174" w:name="_Toc13831"/>
      <w:bookmarkStart w:id="1175" w:name="_Toc30482"/>
      <w:bookmarkStart w:id="1176" w:name="_Toc29619"/>
      <w:bookmarkStart w:id="1177" w:name="_Toc4549"/>
      <w:bookmarkStart w:id="1178" w:name="_Toc492886679"/>
      <w:bookmarkStart w:id="1179" w:name="_Toc13967"/>
      <w:bookmarkStart w:id="1180" w:name="_Toc24463"/>
      <w:r>
        <w:rPr>
          <w:rFonts w:hint="eastAsia" w:ascii="黑体" w:hAnsi="宋体" w:eastAsia="黑体"/>
          <w:color w:val="000000" w:themeColor="text1"/>
          <w:kern w:val="3"/>
          <w:sz w:val="28"/>
          <w:szCs w:val="28"/>
        </w:rPr>
        <w:t>3.5.6特殊作业过程中的危险、有害因素分析</w:t>
      </w:r>
      <w:bookmarkEnd w:id="1169"/>
      <w:bookmarkEnd w:id="1170"/>
      <w:bookmarkEnd w:id="1171"/>
      <w:bookmarkEnd w:id="1172"/>
      <w:bookmarkEnd w:id="1173"/>
      <w:bookmarkEnd w:id="1174"/>
      <w:bookmarkEnd w:id="1175"/>
      <w:bookmarkEnd w:id="1176"/>
      <w:bookmarkEnd w:id="1177"/>
      <w:bookmarkEnd w:id="1178"/>
      <w:bookmarkEnd w:id="1179"/>
      <w:bookmarkEnd w:id="1180"/>
    </w:p>
    <w:p>
      <w:pPr>
        <w:spacing w:line="500" w:lineRule="exact"/>
        <w:ind w:firstLine="560" w:firstLineChars="200"/>
        <w:rPr>
          <w:color w:val="000000" w:themeColor="text1"/>
          <w:sz w:val="28"/>
          <w:szCs w:val="28"/>
        </w:rPr>
      </w:pPr>
      <w:bookmarkStart w:id="1181" w:name="_Toc24088"/>
      <w:bookmarkStart w:id="1182" w:name="_Toc345765776"/>
      <w:bookmarkStart w:id="1183" w:name="_Toc26133"/>
      <w:bookmarkStart w:id="1184" w:name="_Toc19300"/>
      <w:bookmarkStart w:id="1185" w:name="_Toc2892"/>
      <w:bookmarkStart w:id="1186" w:name="_Toc24724"/>
      <w:bookmarkStart w:id="1187" w:name="_Toc23771"/>
      <w:bookmarkStart w:id="1188" w:name="_Toc32609"/>
      <w:bookmarkStart w:id="1189" w:name="_Toc7975"/>
      <w:r>
        <w:rPr>
          <w:rFonts w:hint="eastAsia"/>
          <w:color w:val="000000" w:themeColor="text1"/>
          <w:sz w:val="28"/>
          <w:szCs w:val="28"/>
        </w:rPr>
        <w:t>根据该项目涉及的设备、设施及其管线等处出现故障需要检修、维护时，有可能需要动火作业、高处作业、临时用电等特殊作业过程，在此过程中危险因素较多，如企业管理不到位，安全措施设置不当等易发生容器爆炸、中毒、窒息、火灾爆炸、高处坠落、烫伤、物体打击、机械伤害、噪声等危险，其引发事故主要原因分析如下：</w:t>
      </w: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3.5.6.1动火作业危险性分析</w:t>
      </w:r>
    </w:p>
    <w:p>
      <w:pPr>
        <w:spacing w:line="500" w:lineRule="exact"/>
        <w:ind w:firstLine="560" w:firstLineChars="200"/>
        <w:rPr>
          <w:color w:val="000000" w:themeColor="text1"/>
          <w:sz w:val="28"/>
          <w:szCs w:val="28"/>
        </w:rPr>
      </w:pPr>
      <w:r>
        <w:rPr>
          <w:rFonts w:hint="eastAsia"/>
          <w:color w:val="000000" w:themeColor="text1"/>
          <w:sz w:val="28"/>
          <w:szCs w:val="28"/>
        </w:rPr>
        <w:t>在进行设备检修、安装过程常常需要进行</w:t>
      </w:r>
      <w:r>
        <w:rPr>
          <w:color w:val="000000" w:themeColor="text1"/>
          <w:sz w:val="28"/>
          <w:szCs w:val="28"/>
        </w:rPr>
        <w:t>电焊、气焊（割）等进行可能产生火焰、火花和炽热表面的</w:t>
      </w:r>
      <w:r>
        <w:rPr>
          <w:rFonts w:hint="eastAsia"/>
          <w:color w:val="000000" w:themeColor="text1"/>
          <w:sz w:val="28"/>
          <w:szCs w:val="28"/>
        </w:rPr>
        <w:t>动火作业，其动火作业可能造成火灾、爆炸、灼烫等危险。造成事故的主要原因分析如下：</w:t>
      </w:r>
    </w:p>
    <w:p>
      <w:pPr>
        <w:numPr>
          <w:ilvl w:val="0"/>
          <w:numId w:val="8"/>
        </w:numPr>
        <w:spacing w:line="500" w:lineRule="exact"/>
        <w:ind w:firstLine="560" w:firstLineChars="200"/>
        <w:rPr>
          <w:color w:val="000000" w:themeColor="text1"/>
          <w:sz w:val="28"/>
          <w:szCs w:val="28"/>
        </w:rPr>
      </w:pPr>
      <w:r>
        <w:rPr>
          <w:rFonts w:hint="eastAsia"/>
          <w:color w:val="000000" w:themeColor="text1"/>
          <w:sz w:val="28"/>
          <w:szCs w:val="28"/>
        </w:rPr>
        <w:t>动火作业未设专人监火或监护人员脱岗。</w:t>
      </w:r>
    </w:p>
    <w:p>
      <w:pPr>
        <w:numPr>
          <w:ilvl w:val="0"/>
          <w:numId w:val="8"/>
        </w:numPr>
        <w:spacing w:line="500" w:lineRule="exact"/>
        <w:ind w:firstLine="560" w:firstLineChars="200"/>
        <w:rPr>
          <w:color w:val="000000" w:themeColor="text1"/>
          <w:sz w:val="28"/>
          <w:szCs w:val="28"/>
        </w:rPr>
      </w:pPr>
      <w:r>
        <w:rPr>
          <w:rFonts w:hint="eastAsia"/>
          <w:color w:val="000000" w:themeColor="text1"/>
          <w:sz w:val="28"/>
          <w:szCs w:val="28"/>
        </w:rPr>
        <w:t>动火作业区未设警戒线，未设安全警示标志，作业现场未配备相应的消防器材或配备的消防器材不满足现场应急需求。</w:t>
      </w:r>
    </w:p>
    <w:p>
      <w:pPr>
        <w:numPr>
          <w:ilvl w:val="0"/>
          <w:numId w:val="8"/>
        </w:numPr>
        <w:spacing w:line="500" w:lineRule="exact"/>
        <w:ind w:firstLine="560" w:firstLineChars="200"/>
        <w:rPr>
          <w:color w:val="000000" w:themeColor="text1"/>
          <w:sz w:val="28"/>
          <w:szCs w:val="28"/>
        </w:rPr>
      </w:pPr>
      <w:r>
        <w:rPr>
          <w:rFonts w:hint="eastAsia"/>
          <w:color w:val="000000" w:themeColor="text1"/>
          <w:sz w:val="28"/>
          <w:szCs w:val="28"/>
        </w:rPr>
        <w:t>作业前未清除动火现场及周围的瓶装气体、易燃物或未采取其他有效的安全防火措施。</w:t>
      </w:r>
    </w:p>
    <w:p>
      <w:pPr>
        <w:numPr>
          <w:ilvl w:val="0"/>
          <w:numId w:val="8"/>
        </w:numPr>
        <w:spacing w:line="500" w:lineRule="exact"/>
        <w:ind w:firstLine="560" w:firstLineChars="200"/>
        <w:rPr>
          <w:color w:val="000000" w:themeColor="text1"/>
          <w:sz w:val="28"/>
          <w:szCs w:val="28"/>
        </w:rPr>
      </w:pPr>
      <w:r>
        <w:rPr>
          <w:rFonts w:hint="eastAsia"/>
          <w:color w:val="000000" w:themeColor="text1"/>
          <w:sz w:val="28"/>
          <w:szCs w:val="28"/>
        </w:rPr>
        <w:t>在低温液体贮槽或瓶装气体存放区进行动火作业会引发容器爆炸。</w:t>
      </w:r>
    </w:p>
    <w:p>
      <w:pPr>
        <w:numPr>
          <w:ilvl w:val="0"/>
          <w:numId w:val="8"/>
        </w:numPr>
        <w:spacing w:line="500" w:lineRule="exact"/>
        <w:ind w:firstLine="560" w:firstLineChars="200"/>
        <w:rPr>
          <w:color w:val="000000" w:themeColor="text1"/>
          <w:sz w:val="28"/>
          <w:szCs w:val="28"/>
        </w:rPr>
      </w:pPr>
      <w:r>
        <w:rPr>
          <w:rFonts w:hint="eastAsia"/>
          <w:color w:val="000000" w:themeColor="text1"/>
          <w:sz w:val="28"/>
          <w:szCs w:val="28"/>
        </w:rPr>
        <w:t>动火点周围或其下方的地面有可燃物、空洞、地沟时，未采取清除或封盖等措施，或动火期间，距动火点30m、15m范围内分别有易燃蒸气、可燃液体和排放，或距动火点10m范围内及动火点下方有可燃溶剂清洗或喷漆等作业。</w:t>
      </w:r>
    </w:p>
    <w:p>
      <w:pPr>
        <w:numPr>
          <w:ilvl w:val="0"/>
          <w:numId w:val="8"/>
        </w:numPr>
        <w:spacing w:line="500" w:lineRule="exact"/>
        <w:ind w:firstLine="560" w:firstLineChars="200"/>
        <w:rPr>
          <w:color w:val="000000" w:themeColor="text1"/>
          <w:sz w:val="28"/>
          <w:szCs w:val="28"/>
        </w:rPr>
      </w:pPr>
      <w:r>
        <w:rPr>
          <w:rFonts w:hint="eastAsia"/>
          <w:color w:val="000000" w:themeColor="text1"/>
          <w:sz w:val="28"/>
          <w:szCs w:val="28"/>
        </w:rPr>
        <w:t>进入低温液体贮槽等有限空间动火时，未采取排风措施等会导致人员中毒、窒息。</w:t>
      </w:r>
    </w:p>
    <w:p>
      <w:pPr>
        <w:numPr>
          <w:ilvl w:val="0"/>
          <w:numId w:val="8"/>
        </w:numPr>
        <w:spacing w:line="500" w:lineRule="exact"/>
        <w:ind w:firstLine="560" w:firstLineChars="200"/>
        <w:rPr>
          <w:color w:val="000000" w:themeColor="text1"/>
          <w:sz w:val="28"/>
          <w:szCs w:val="28"/>
        </w:rPr>
      </w:pPr>
      <w:r>
        <w:rPr>
          <w:color w:val="000000" w:themeColor="text1"/>
          <w:sz w:val="28"/>
          <w:szCs w:val="28"/>
        </w:rPr>
        <w:t>使用气焊、气割动火作业时，</w:t>
      </w:r>
      <w:r>
        <w:rPr>
          <w:rFonts w:hint="eastAsia"/>
          <w:color w:val="000000" w:themeColor="text1"/>
          <w:sz w:val="28"/>
          <w:szCs w:val="28"/>
        </w:rPr>
        <w:t>氧气瓶未直立放置等使用不规范，或动火作业完毕后未清理现场，未确认无残留火种后离开。</w:t>
      </w:r>
    </w:p>
    <w:p>
      <w:pPr>
        <w:numPr>
          <w:ilvl w:val="0"/>
          <w:numId w:val="8"/>
        </w:numPr>
        <w:spacing w:line="500" w:lineRule="exact"/>
        <w:ind w:firstLine="560" w:firstLineChars="200"/>
        <w:rPr>
          <w:color w:val="000000" w:themeColor="text1"/>
          <w:sz w:val="28"/>
          <w:szCs w:val="28"/>
        </w:rPr>
      </w:pPr>
      <w:r>
        <w:rPr>
          <w:rFonts w:hint="eastAsia"/>
          <w:color w:val="000000" w:themeColor="text1"/>
          <w:sz w:val="28"/>
          <w:szCs w:val="28"/>
        </w:rPr>
        <w:t>人员违章作业。</w:t>
      </w: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3.5.6.2临时用电作业危险性分析</w:t>
      </w:r>
    </w:p>
    <w:p>
      <w:pPr>
        <w:spacing w:line="500" w:lineRule="exact"/>
        <w:ind w:firstLine="560" w:firstLineChars="200"/>
        <w:rPr>
          <w:color w:val="000000" w:themeColor="text1"/>
          <w:sz w:val="28"/>
          <w:szCs w:val="28"/>
        </w:rPr>
      </w:pPr>
      <w:r>
        <w:rPr>
          <w:rFonts w:hint="eastAsia"/>
          <w:color w:val="000000" w:themeColor="text1"/>
          <w:sz w:val="28"/>
          <w:szCs w:val="28"/>
        </w:rPr>
        <w:t>站内运行过程中有可能会涉及临时用电作业，在此过程中可能因违章操作等原因而引发触电、电气火灾等危险，其引发事故主要原因分析如下：</w:t>
      </w:r>
    </w:p>
    <w:p>
      <w:pPr>
        <w:numPr>
          <w:ilvl w:val="0"/>
          <w:numId w:val="9"/>
        </w:numPr>
        <w:spacing w:line="500" w:lineRule="exact"/>
        <w:ind w:firstLine="560" w:firstLineChars="200"/>
        <w:rPr>
          <w:color w:val="000000" w:themeColor="text1"/>
          <w:sz w:val="28"/>
          <w:szCs w:val="28"/>
        </w:rPr>
      </w:pPr>
      <w:r>
        <w:rPr>
          <w:rFonts w:hint="eastAsia"/>
          <w:color w:val="000000" w:themeColor="text1"/>
          <w:sz w:val="28"/>
          <w:szCs w:val="28"/>
        </w:rPr>
        <w:t>临时用电线路未设置保护开关，或使用前未检查电气装置和保护设施的可靠性或为接地。</w:t>
      </w:r>
    </w:p>
    <w:p>
      <w:pPr>
        <w:numPr>
          <w:ilvl w:val="0"/>
          <w:numId w:val="9"/>
        </w:numPr>
        <w:spacing w:line="500" w:lineRule="exact"/>
        <w:ind w:firstLine="560" w:firstLineChars="200"/>
        <w:rPr>
          <w:color w:val="000000" w:themeColor="text1"/>
          <w:sz w:val="28"/>
          <w:szCs w:val="28"/>
        </w:rPr>
      </w:pPr>
      <w:r>
        <w:rPr>
          <w:rFonts w:hint="eastAsia"/>
          <w:color w:val="000000" w:themeColor="text1"/>
          <w:sz w:val="28"/>
          <w:szCs w:val="28"/>
        </w:rPr>
        <w:t>临时用电线路经过有高温、振动、腐蚀、积水等区域时有接头，且未采取相应的保护措施。</w:t>
      </w:r>
    </w:p>
    <w:p>
      <w:pPr>
        <w:numPr>
          <w:ilvl w:val="0"/>
          <w:numId w:val="9"/>
        </w:numPr>
        <w:spacing w:line="500" w:lineRule="exact"/>
        <w:ind w:firstLine="560" w:firstLineChars="200"/>
        <w:rPr>
          <w:color w:val="000000" w:themeColor="text1"/>
          <w:sz w:val="28"/>
          <w:szCs w:val="28"/>
        </w:rPr>
      </w:pPr>
      <w:r>
        <w:rPr>
          <w:rFonts w:hint="eastAsia"/>
          <w:color w:val="000000" w:themeColor="text1"/>
          <w:sz w:val="28"/>
          <w:szCs w:val="28"/>
        </w:rPr>
        <w:t>临时用电架空线设置不规范，未采用绝缘铜芯线，且未架设在专用电杆或支架上。</w:t>
      </w:r>
    </w:p>
    <w:p>
      <w:pPr>
        <w:numPr>
          <w:ilvl w:val="0"/>
          <w:numId w:val="9"/>
        </w:numPr>
        <w:spacing w:line="500" w:lineRule="exact"/>
        <w:ind w:firstLine="560" w:firstLineChars="200"/>
        <w:rPr>
          <w:color w:val="000000" w:themeColor="text1"/>
          <w:sz w:val="28"/>
          <w:szCs w:val="28"/>
        </w:rPr>
      </w:pPr>
      <w:r>
        <w:rPr>
          <w:rFonts w:hint="eastAsia"/>
          <w:color w:val="000000" w:themeColor="text1"/>
          <w:sz w:val="28"/>
          <w:szCs w:val="28"/>
        </w:rPr>
        <w:t>在特别潮湿的场所或槽内等金属设备内作业时，临时照明行灯的电压不符合规范要求，超过12V。</w:t>
      </w:r>
    </w:p>
    <w:p>
      <w:pPr>
        <w:numPr>
          <w:ilvl w:val="0"/>
          <w:numId w:val="9"/>
        </w:numPr>
        <w:spacing w:line="500" w:lineRule="exact"/>
        <w:ind w:firstLine="560" w:firstLineChars="200"/>
        <w:rPr>
          <w:color w:val="000000" w:themeColor="text1"/>
          <w:sz w:val="28"/>
          <w:szCs w:val="28"/>
        </w:rPr>
      </w:pPr>
      <w:r>
        <w:rPr>
          <w:rFonts w:hint="eastAsia"/>
          <w:color w:val="000000" w:themeColor="text1"/>
          <w:sz w:val="28"/>
          <w:szCs w:val="28"/>
        </w:rPr>
        <w:t>用电结束后，未及时拆除临时用电线路。</w:t>
      </w:r>
    </w:p>
    <w:p>
      <w:pPr>
        <w:numPr>
          <w:ilvl w:val="0"/>
          <w:numId w:val="9"/>
        </w:numPr>
        <w:spacing w:line="500" w:lineRule="exact"/>
        <w:ind w:firstLine="560" w:firstLineChars="200"/>
        <w:rPr>
          <w:color w:val="000000" w:themeColor="text1"/>
          <w:sz w:val="28"/>
          <w:szCs w:val="28"/>
        </w:rPr>
      </w:pPr>
      <w:r>
        <w:rPr>
          <w:rFonts w:hint="eastAsia"/>
          <w:color w:val="000000" w:themeColor="text1"/>
          <w:sz w:val="28"/>
          <w:szCs w:val="28"/>
        </w:rPr>
        <w:t>作业人员未持证上岗，违章作业等其他原因。</w:t>
      </w: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3.5.5.3高处作业危险性分析</w:t>
      </w:r>
    </w:p>
    <w:p>
      <w:pPr>
        <w:spacing w:line="500" w:lineRule="exact"/>
        <w:ind w:firstLine="560" w:firstLineChars="200"/>
        <w:rPr>
          <w:color w:val="000000" w:themeColor="text1"/>
          <w:sz w:val="28"/>
          <w:szCs w:val="28"/>
        </w:rPr>
      </w:pPr>
      <w:r>
        <w:rPr>
          <w:rFonts w:hint="eastAsia"/>
          <w:color w:val="000000" w:themeColor="text1"/>
          <w:sz w:val="28"/>
          <w:szCs w:val="28"/>
        </w:rPr>
        <w:t>该项目液氧（低温液体）贮槽较高，对其检维修或装卸处等处需高处作业时，有发生高处坠落、物体打击的可能，其主要引发原因分析如下：</w:t>
      </w:r>
    </w:p>
    <w:p>
      <w:pPr>
        <w:numPr>
          <w:ilvl w:val="0"/>
          <w:numId w:val="10"/>
        </w:numPr>
        <w:spacing w:line="500" w:lineRule="exact"/>
        <w:ind w:firstLine="560" w:firstLineChars="200"/>
        <w:rPr>
          <w:color w:val="000000" w:themeColor="text1"/>
          <w:sz w:val="28"/>
          <w:szCs w:val="28"/>
        </w:rPr>
      </w:pPr>
      <w:r>
        <w:rPr>
          <w:rFonts w:hint="eastAsia"/>
          <w:color w:val="000000" w:themeColor="text1"/>
          <w:sz w:val="28"/>
          <w:szCs w:val="28"/>
        </w:rPr>
        <w:t>作业前未办理高处作业</w:t>
      </w:r>
      <w:r>
        <w:rPr>
          <w:color w:val="000000" w:themeColor="text1"/>
          <w:sz w:val="28"/>
          <w:szCs w:val="28"/>
        </w:rPr>
        <w:t>安全作业证</w:t>
      </w:r>
      <w:r>
        <w:rPr>
          <w:rFonts w:hint="eastAsia"/>
          <w:color w:val="000000" w:themeColor="text1"/>
          <w:sz w:val="28"/>
          <w:szCs w:val="28"/>
        </w:rPr>
        <w:t>，未对作业存在的危险有害因素进行充分辨识，未制定相应处理措施。</w:t>
      </w:r>
    </w:p>
    <w:p>
      <w:pPr>
        <w:numPr>
          <w:ilvl w:val="0"/>
          <w:numId w:val="10"/>
        </w:numPr>
        <w:spacing w:line="500" w:lineRule="exact"/>
        <w:ind w:firstLine="560" w:firstLineChars="200"/>
        <w:rPr>
          <w:color w:val="000000" w:themeColor="text1"/>
          <w:sz w:val="28"/>
          <w:szCs w:val="28"/>
        </w:rPr>
      </w:pPr>
      <w:r>
        <w:rPr>
          <w:rFonts w:hint="eastAsia"/>
          <w:color w:val="000000" w:themeColor="text1"/>
          <w:sz w:val="28"/>
          <w:szCs w:val="28"/>
        </w:rPr>
        <w:t>作业区未划分警戒区，未设监护人员，未设警示标志。</w:t>
      </w:r>
    </w:p>
    <w:p>
      <w:pPr>
        <w:numPr>
          <w:ilvl w:val="0"/>
          <w:numId w:val="10"/>
        </w:numPr>
        <w:spacing w:line="500" w:lineRule="exact"/>
        <w:ind w:firstLine="560" w:firstLineChars="200"/>
        <w:rPr>
          <w:color w:val="000000" w:themeColor="text1"/>
          <w:sz w:val="28"/>
          <w:szCs w:val="28"/>
        </w:rPr>
      </w:pPr>
      <w:r>
        <w:rPr>
          <w:rFonts w:hint="eastAsia"/>
          <w:color w:val="000000" w:themeColor="text1"/>
          <w:sz w:val="28"/>
          <w:szCs w:val="28"/>
        </w:rPr>
        <w:t>高处作业脚手架、</w:t>
      </w:r>
      <w:r>
        <w:rPr>
          <w:color w:val="000000" w:themeColor="text1"/>
          <w:sz w:val="28"/>
          <w:szCs w:val="28"/>
        </w:rPr>
        <w:t>吊笼、梯子、防护围栏、挡脚板</w:t>
      </w:r>
      <w:r>
        <w:rPr>
          <w:rFonts w:hint="eastAsia"/>
          <w:color w:val="000000" w:themeColor="text1"/>
          <w:sz w:val="28"/>
          <w:szCs w:val="28"/>
        </w:rPr>
        <w:t>等质量不良，使用前未经检查。</w:t>
      </w:r>
    </w:p>
    <w:p>
      <w:pPr>
        <w:numPr>
          <w:ilvl w:val="0"/>
          <w:numId w:val="10"/>
        </w:numPr>
        <w:spacing w:line="500" w:lineRule="exact"/>
        <w:ind w:firstLine="560" w:firstLineChars="200"/>
        <w:rPr>
          <w:color w:val="000000" w:themeColor="text1"/>
          <w:sz w:val="28"/>
          <w:szCs w:val="28"/>
        </w:rPr>
      </w:pPr>
      <w:r>
        <w:rPr>
          <w:rFonts w:hint="eastAsia"/>
          <w:color w:val="000000" w:themeColor="text1"/>
          <w:sz w:val="28"/>
          <w:szCs w:val="28"/>
        </w:rPr>
        <w:t>在高处作业时作业人员未按要求佩戴安全带（绳）、疲劳过度或酒后作业、未采取安全防护措施和使用可靠的安全保护装置等。</w:t>
      </w:r>
    </w:p>
    <w:p>
      <w:pPr>
        <w:numPr>
          <w:ilvl w:val="0"/>
          <w:numId w:val="10"/>
        </w:numPr>
        <w:spacing w:line="500" w:lineRule="exact"/>
        <w:ind w:firstLine="560" w:firstLineChars="200"/>
        <w:rPr>
          <w:color w:val="000000" w:themeColor="text1"/>
          <w:sz w:val="28"/>
          <w:szCs w:val="28"/>
        </w:rPr>
      </w:pPr>
      <w:r>
        <w:rPr>
          <w:rFonts w:hint="eastAsia"/>
          <w:color w:val="000000" w:themeColor="text1"/>
          <w:sz w:val="28"/>
          <w:szCs w:val="28"/>
        </w:rPr>
        <w:t>在6级以上大风、大雾天气进行高处作业。</w:t>
      </w:r>
    </w:p>
    <w:p>
      <w:pPr>
        <w:numPr>
          <w:ilvl w:val="0"/>
          <w:numId w:val="10"/>
        </w:numPr>
        <w:spacing w:line="500" w:lineRule="exact"/>
        <w:ind w:firstLine="560" w:firstLineChars="200"/>
        <w:rPr>
          <w:color w:val="000000" w:themeColor="text1"/>
          <w:sz w:val="28"/>
          <w:szCs w:val="28"/>
        </w:rPr>
      </w:pPr>
      <w:r>
        <w:rPr>
          <w:rFonts w:hint="eastAsia"/>
          <w:color w:val="000000" w:themeColor="text1"/>
          <w:sz w:val="28"/>
          <w:szCs w:val="28"/>
        </w:rPr>
        <w:t>高处作业人员</w:t>
      </w:r>
      <w:r>
        <w:rPr>
          <w:color w:val="000000" w:themeColor="text1"/>
          <w:sz w:val="28"/>
          <w:szCs w:val="28"/>
        </w:rPr>
        <w:t>患有职业禁忌</w:t>
      </w:r>
      <w:r>
        <w:rPr>
          <w:rFonts w:hint="eastAsia"/>
          <w:color w:val="000000" w:themeColor="text1"/>
          <w:sz w:val="28"/>
          <w:szCs w:val="28"/>
        </w:rPr>
        <w:t>，</w:t>
      </w:r>
      <w:r>
        <w:rPr>
          <w:color w:val="000000" w:themeColor="text1"/>
          <w:sz w:val="28"/>
          <w:szCs w:val="28"/>
        </w:rPr>
        <w:t>如高血压、心脏病、贫血病</w:t>
      </w:r>
      <w:r>
        <w:rPr>
          <w:rFonts w:hint="eastAsia"/>
          <w:color w:val="000000" w:themeColor="text1"/>
          <w:sz w:val="28"/>
          <w:szCs w:val="28"/>
        </w:rPr>
        <w:t>、</w:t>
      </w:r>
      <w:r>
        <w:rPr>
          <w:color w:val="000000" w:themeColor="text1"/>
          <w:sz w:val="28"/>
          <w:szCs w:val="28"/>
        </w:rPr>
        <w:t>疲劳过度、视力不佳</w:t>
      </w:r>
      <w:r>
        <w:rPr>
          <w:rFonts w:hint="eastAsia"/>
          <w:color w:val="000000" w:themeColor="text1"/>
          <w:sz w:val="28"/>
          <w:szCs w:val="28"/>
        </w:rPr>
        <w:t>等。</w:t>
      </w:r>
    </w:p>
    <w:p>
      <w:pPr>
        <w:numPr>
          <w:ilvl w:val="0"/>
          <w:numId w:val="10"/>
        </w:numPr>
        <w:spacing w:line="500" w:lineRule="exact"/>
        <w:ind w:firstLine="560" w:firstLineChars="200"/>
        <w:rPr>
          <w:color w:val="000000" w:themeColor="text1"/>
          <w:sz w:val="28"/>
          <w:szCs w:val="28"/>
        </w:rPr>
      </w:pPr>
      <w:r>
        <w:rPr>
          <w:rFonts w:hint="eastAsia"/>
          <w:color w:val="000000" w:themeColor="text1"/>
          <w:sz w:val="28"/>
          <w:szCs w:val="28"/>
        </w:rPr>
        <w:t>高处作业下方未设防坠物措施，工具、零件、螺丝等坠下造成物体，高空抛物、物件设备摆放不稳，倾覆等易造成物体打击事故。</w:t>
      </w: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3.5.5.4有限空间作业危险性分析</w:t>
      </w:r>
    </w:p>
    <w:p>
      <w:pPr>
        <w:spacing w:line="500" w:lineRule="exact"/>
        <w:ind w:firstLine="560" w:firstLineChars="200"/>
        <w:rPr>
          <w:color w:val="000000" w:themeColor="text1"/>
          <w:sz w:val="28"/>
          <w:szCs w:val="28"/>
        </w:rPr>
      </w:pPr>
      <w:r>
        <w:rPr>
          <w:rFonts w:hint="eastAsia"/>
          <w:color w:val="000000" w:themeColor="text1"/>
          <w:sz w:val="28"/>
          <w:szCs w:val="28"/>
        </w:rPr>
        <w:t>该项目低温液体贮槽内部等</w:t>
      </w:r>
      <w:r>
        <w:rPr>
          <w:color w:val="000000" w:themeColor="text1"/>
          <w:sz w:val="28"/>
          <w:szCs w:val="28"/>
        </w:rPr>
        <w:t>属</w:t>
      </w:r>
      <w:r>
        <w:rPr>
          <w:rFonts w:hint="eastAsia"/>
          <w:color w:val="000000" w:themeColor="text1"/>
          <w:sz w:val="28"/>
          <w:szCs w:val="28"/>
        </w:rPr>
        <w:t>有</w:t>
      </w:r>
      <w:r>
        <w:rPr>
          <w:color w:val="000000" w:themeColor="text1"/>
          <w:sz w:val="28"/>
          <w:szCs w:val="28"/>
        </w:rPr>
        <w:t>限空间，</w:t>
      </w:r>
      <w:r>
        <w:rPr>
          <w:rFonts w:hint="eastAsia"/>
          <w:color w:val="000000" w:themeColor="text1"/>
          <w:sz w:val="28"/>
          <w:szCs w:val="28"/>
        </w:rPr>
        <w:t>在对其检修需要进入槽内进行作业时有可能引发中毒、窒息、触电等危险，造成事故的主要原因分析如下：</w:t>
      </w:r>
    </w:p>
    <w:p>
      <w:pPr>
        <w:numPr>
          <w:ilvl w:val="0"/>
          <w:numId w:val="11"/>
        </w:numPr>
        <w:spacing w:line="500" w:lineRule="exact"/>
        <w:ind w:firstLine="560" w:firstLineChars="200"/>
        <w:rPr>
          <w:color w:val="000000" w:themeColor="text1"/>
          <w:sz w:val="28"/>
          <w:szCs w:val="28"/>
        </w:rPr>
      </w:pPr>
      <w:r>
        <w:rPr>
          <w:rFonts w:hint="eastAsia"/>
          <w:color w:val="000000" w:themeColor="text1"/>
          <w:sz w:val="28"/>
          <w:szCs w:val="28"/>
        </w:rPr>
        <w:t>进入有限空间前未进行通风或通风时间不足，未对有限空间内</w:t>
      </w:r>
      <w:r>
        <w:rPr>
          <w:color w:val="000000" w:themeColor="text1"/>
          <w:sz w:val="28"/>
          <w:szCs w:val="28"/>
        </w:rPr>
        <w:t>气体采样分析</w:t>
      </w:r>
      <w:r>
        <w:rPr>
          <w:rFonts w:hint="eastAsia"/>
          <w:color w:val="000000" w:themeColor="text1"/>
          <w:sz w:val="28"/>
          <w:szCs w:val="28"/>
        </w:rPr>
        <w:t>或分析时间超过规定分析间隔时间，进入作业人员未佩戴空气呼吸器等劳动防护用品时，易引发中毒窒息危险。</w:t>
      </w:r>
    </w:p>
    <w:p>
      <w:pPr>
        <w:numPr>
          <w:ilvl w:val="0"/>
          <w:numId w:val="11"/>
        </w:numPr>
        <w:spacing w:line="500" w:lineRule="exact"/>
        <w:ind w:firstLine="560" w:firstLineChars="200"/>
        <w:rPr>
          <w:color w:val="000000" w:themeColor="text1"/>
          <w:sz w:val="28"/>
          <w:szCs w:val="28"/>
        </w:rPr>
      </w:pPr>
      <w:r>
        <w:rPr>
          <w:rFonts w:hint="eastAsia"/>
          <w:color w:val="000000" w:themeColor="text1"/>
          <w:sz w:val="28"/>
          <w:szCs w:val="28"/>
        </w:rPr>
        <w:t>有</w:t>
      </w:r>
      <w:r>
        <w:rPr>
          <w:color w:val="000000" w:themeColor="text1"/>
          <w:sz w:val="28"/>
          <w:szCs w:val="28"/>
        </w:rPr>
        <w:t>限空间</w:t>
      </w:r>
      <w:r>
        <w:rPr>
          <w:rFonts w:hint="eastAsia"/>
          <w:color w:val="000000" w:themeColor="text1"/>
          <w:sz w:val="28"/>
          <w:szCs w:val="28"/>
        </w:rPr>
        <w:t>内</w:t>
      </w:r>
      <w:r>
        <w:rPr>
          <w:color w:val="000000" w:themeColor="text1"/>
          <w:sz w:val="28"/>
          <w:szCs w:val="28"/>
        </w:rPr>
        <w:t>照明电压</w:t>
      </w:r>
      <w:r>
        <w:rPr>
          <w:rFonts w:hint="eastAsia"/>
          <w:color w:val="000000" w:themeColor="text1"/>
          <w:sz w:val="28"/>
          <w:szCs w:val="28"/>
        </w:rPr>
        <w:t>过高，未使用安全电压或进行电焊作业时，未设漏电保护装置或作业人员站在潮湿环境下进行手持电动工具作业或电焊作业均易引起人员触电危险。</w:t>
      </w:r>
    </w:p>
    <w:p>
      <w:pPr>
        <w:numPr>
          <w:ilvl w:val="0"/>
          <w:numId w:val="11"/>
        </w:numPr>
        <w:spacing w:line="500" w:lineRule="exact"/>
        <w:ind w:firstLine="560" w:firstLineChars="200"/>
        <w:rPr>
          <w:color w:val="000000" w:themeColor="text1"/>
          <w:sz w:val="28"/>
          <w:szCs w:val="28"/>
        </w:rPr>
      </w:pPr>
      <w:r>
        <w:rPr>
          <w:rFonts w:hint="eastAsia"/>
          <w:color w:val="000000" w:themeColor="text1"/>
          <w:sz w:val="28"/>
          <w:szCs w:val="28"/>
        </w:rPr>
        <w:t>作业前，有限空间外未设置安全警示标识，未配备氧气呼吸器、消防器材和清水等应急用品，或进行有限空间作业时未设置监护人员或监护人员脱岗，监护人员未配备与作业人员联络工具，会增加发生事故的几率，且事故发生后有可能导致事故范围扩大。</w:t>
      </w:r>
    </w:p>
    <w:p>
      <w:pPr>
        <w:numPr>
          <w:ilvl w:val="0"/>
          <w:numId w:val="11"/>
        </w:numPr>
        <w:spacing w:line="500" w:lineRule="exact"/>
        <w:ind w:firstLine="560" w:firstLineChars="200"/>
        <w:rPr>
          <w:color w:val="000000" w:themeColor="text1"/>
          <w:sz w:val="28"/>
          <w:szCs w:val="28"/>
        </w:rPr>
      </w:pPr>
      <w:r>
        <w:rPr>
          <w:rFonts w:hint="eastAsia"/>
          <w:color w:val="000000" w:themeColor="text1"/>
          <w:sz w:val="28"/>
          <w:szCs w:val="28"/>
        </w:rPr>
        <w:t>作业人员违章作业等其它原因而引发中毒窒息等危险。</w:t>
      </w: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3.5.5.5吊装作业危险性分析</w:t>
      </w:r>
    </w:p>
    <w:p>
      <w:pPr>
        <w:spacing w:line="500" w:lineRule="exact"/>
        <w:ind w:firstLine="560" w:firstLineChars="200"/>
        <w:rPr>
          <w:color w:val="000000" w:themeColor="text1"/>
          <w:sz w:val="28"/>
          <w:szCs w:val="28"/>
        </w:rPr>
      </w:pPr>
      <w:r>
        <w:rPr>
          <w:rFonts w:hint="eastAsia"/>
          <w:color w:val="000000" w:themeColor="text1"/>
          <w:sz w:val="28"/>
          <w:szCs w:val="28"/>
        </w:rPr>
        <w:t>该公司对地上立式低温贮槽等设备、设施进行检修、安装等需要进行吊装作业时有可能发生起重伤害等危险，其引发事故的主要原因分析如下：</w:t>
      </w:r>
    </w:p>
    <w:p>
      <w:pPr>
        <w:numPr>
          <w:ilvl w:val="0"/>
          <w:numId w:val="12"/>
        </w:numPr>
        <w:spacing w:line="500" w:lineRule="exact"/>
        <w:ind w:firstLine="560" w:firstLineChars="200"/>
        <w:rPr>
          <w:color w:val="000000" w:themeColor="text1"/>
          <w:sz w:val="28"/>
          <w:szCs w:val="28"/>
        </w:rPr>
      </w:pPr>
      <w:r>
        <w:rPr>
          <w:color w:val="000000" w:themeColor="text1"/>
          <w:sz w:val="28"/>
          <w:szCs w:val="28"/>
        </w:rPr>
        <w:t>吊装区域内</w:t>
      </w:r>
      <w:r>
        <w:rPr>
          <w:rFonts w:hint="eastAsia"/>
          <w:color w:val="000000" w:themeColor="text1"/>
          <w:sz w:val="28"/>
          <w:szCs w:val="28"/>
        </w:rPr>
        <w:t>未划定警戒区域，吊装现场未设专人监护、未设置安全警示标志或设置的安全警示标识不符合相关规范要求等。</w:t>
      </w:r>
    </w:p>
    <w:p>
      <w:pPr>
        <w:numPr>
          <w:ilvl w:val="0"/>
          <w:numId w:val="12"/>
        </w:numPr>
        <w:spacing w:line="500" w:lineRule="exact"/>
        <w:ind w:firstLine="560" w:firstLineChars="200"/>
        <w:rPr>
          <w:color w:val="000000" w:themeColor="text1"/>
          <w:sz w:val="28"/>
          <w:szCs w:val="28"/>
        </w:rPr>
      </w:pPr>
      <w:r>
        <w:rPr>
          <w:rFonts w:hint="eastAsia"/>
          <w:color w:val="000000" w:themeColor="text1"/>
          <w:sz w:val="28"/>
          <w:szCs w:val="28"/>
        </w:rPr>
        <w:t>吊装作业人员无证或未设吊运指挥人员，指挥人员站立于起吊区域。</w:t>
      </w:r>
    </w:p>
    <w:p>
      <w:pPr>
        <w:numPr>
          <w:ilvl w:val="0"/>
          <w:numId w:val="12"/>
        </w:numPr>
        <w:spacing w:line="500" w:lineRule="exact"/>
        <w:ind w:firstLine="560" w:firstLineChars="200"/>
        <w:rPr>
          <w:color w:val="000000" w:themeColor="text1"/>
          <w:sz w:val="28"/>
          <w:szCs w:val="28"/>
        </w:rPr>
      </w:pPr>
      <w:r>
        <w:rPr>
          <w:rFonts w:hint="eastAsia"/>
          <w:color w:val="000000" w:themeColor="text1"/>
          <w:sz w:val="28"/>
          <w:szCs w:val="28"/>
        </w:rPr>
        <w:t>进行三级以上或作业特殊情况下进行吊装作业时，未编制吊装作业方案，或编制的吊装方案未进行审批程序。</w:t>
      </w:r>
    </w:p>
    <w:p>
      <w:pPr>
        <w:numPr>
          <w:ilvl w:val="0"/>
          <w:numId w:val="12"/>
        </w:numPr>
        <w:spacing w:line="500" w:lineRule="exact"/>
        <w:ind w:firstLine="560" w:firstLineChars="200"/>
        <w:rPr>
          <w:color w:val="000000" w:themeColor="text1"/>
          <w:sz w:val="28"/>
          <w:szCs w:val="28"/>
        </w:rPr>
      </w:pPr>
      <w:r>
        <w:rPr>
          <w:rFonts w:hint="eastAsia"/>
          <w:color w:val="000000" w:themeColor="text1"/>
          <w:sz w:val="28"/>
          <w:szCs w:val="28"/>
        </w:rPr>
        <w:t>使用未经检测合格或安全附件缺失的起重设备进行吊装作业以及超限起吊；在利用起重设备进行检修时，可能因起吊负荷不匹配、脱钩或钢丝绳折断、升高限位器、行程开关、刹车装置失效等。</w:t>
      </w:r>
    </w:p>
    <w:p>
      <w:pPr>
        <w:numPr>
          <w:ilvl w:val="0"/>
          <w:numId w:val="12"/>
        </w:numPr>
        <w:spacing w:line="500" w:lineRule="exact"/>
        <w:ind w:firstLine="560" w:firstLineChars="200"/>
        <w:rPr>
          <w:color w:val="000000" w:themeColor="text1"/>
          <w:sz w:val="28"/>
          <w:szCs w:val="28"/>
        </w:rPr>
      </w:pPr>
      <w:r>
        <w:rPr>
          <w:rFonts w:hint="eastAsia"/>
          <w:color w:val="000000" w:themeColor="text1"/>
          <w:sz w:val="28"/>
          <w:szCs w:val="28"/>
        </w:rPr>
        <w:t>未对吊装作业场所、环境进行充分的危险因素辨识，未经过办证审批或起吊前未对</w:t>
      </w:r>
      <w:r>
        <w:rPr>
          <w:color w:val="000000" w:themeColor="text1"/>
          <w:sz w:val="28"/>
          <w:szCs w:val="28"/>
        </w:rPr>
        <w:t>起重吊装机械</w:t>
      </w:r>
      <w:r>
        <w:rPr>
          <w:rFonts w:hint="eastAsia"/>
          <w:color w:val="000000" w:themeColor="text1"/>
          <w:sz w:val="28"/>
          <w:szCs w:val="28"/>
        </w:rPr>
        <w:t>、</w:t>
      </w:r>
      <w:r>
        <w:rPr>
          <w:color w:val="000000" w:themeColor="text1"/>
          <w:sz w:val="28"/>
          <w:szCs w:val="28"/>
        </w:rPr>
        <w:t>吊具</w:t>
      </w:r>
      <w:r>
        <w:rPr>
          <w:rFonts w:hint="eastAsia"/>
          <w:color w:val="000000" w:themeColor="text1"/>
          <w:sz w:val="28"/>
          <w:szCs w:val="28"/>
        </w:rPr>
        <w:t>等进行安全确认。</w:t>
      </w:r>
    </w:p>
    <w:p>
      <w:pPr>
        <w:numPr>
          <w:ilvl w:val="0"/>
          <w:numId w:val="12"/>
        </w:numPr>
        <w:spacing w:line="500" w:lineRule="exact"/>
        <w:ind w:firstLine="560" w:firstLineChars="200"/>
        <w:rPr>
          <w:color w:val="000000" w:themeColor="text1"/>
          <w:kern w:val="0"/>
          <w:sz w:val="28"/>
          <w:szCs w:val="28"/>
        </w:rPr>
      </w:pPr>
      <w:r>
        <w:rPr>
          <w:rFonts w:hint="eastAsia"/>
          <w:color w:val="000000" w:themeColor="text1"/>
          <w:kern w:val="0"/>
          <w:sz w:val="28"/>
          <w:szCs w:val="28"/>
        </w:rPr>
        <w:t>吊装前未进行试吊，或试吊过程中发现问题未及时排除继续吊装。</w:t>
      </w:r>
    </w:p>
    <w:p>
      <w:pPr>
        <w:numPr>
          <w:ilvl w:val="0"/>
          <w:numId w:val="12"/>
        </w:numPr>
        <w:spacing w:line="500" w:lineRule="exact"/>
        <w:ind w:firstLine="560" w:firstLineChars="200"/>
        <w:rPr>
          <w:color w:val="000000" w:themeColor="text1"/>
          <w:sz w:val="28"/>
          <w:szCs w:val="28"/>
        </w:rPr>
      </w:pPr>
      <w:r>
        <w:rPr>
          <w:rFonts w:hint="eastAsia"/>
          <w:color w:val="000000" w:themeColor="text1"/>
          <w:kern w:val="0"/>
          <w:sz w:val="28"/>
          <w:szCs w:val="28"/>
        </w:rPr>
        <w:t>其他原因。</w:t>
      </w: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3.5.5.6动土作业危险性分析</w:t>
      </w:r>
    </w:p>
    <w:p>
      <w:pPr>
        <w:spacing w:line="500" w:lineRule="exact"/>
        <w:ind w:firstLine="560" w:firstLineChars="200"/>
        <w:rPr>
          <w:color w:val="000000" w:themeColor="text1"/>
          <w:sz w:val="28"/>
          <w:szCs w:val="28"/>
        </w:rPr>
      </w:pPr>
      <w:r>
        <w:rPr>
          <w:rFonts w:hint="eastAsia"/>
          <w:color w:val="000000" w:themeColor="text1"/>
          <w:sz w:val="28"/>
          <w:szCs w:val="28"/>
        </w:rPr>
        <w:t>该公司运行过程中涉及动土作业过程中有可能因以下原因发生坍塌、滑坡、高处坠落、机械伤害等危险：</w:t>
      </w:r>
    </w:p>
    <w:p>
      <w:pPr>
        <w:spacing w:line="500" w:lineRule="exact"/>
        <w:ind w:firstLine="560" w:firstLineChars="200"/>
        <w:rPr>
          <w:color w:val="000000" w:themeColor="text1"/>
          <w:sz w:val="28"/>
          <w:szCs w:val="28"/>
        </w:rPr>
      </w:pPr>
      <w:r>
        <w:rPr>
          <w:rFonts w:hint="eastAsia"/>
          <w:color w:val="000000" w:themeColor="text1"/>
          <w:sz w:val="28"/>
          <w:szCs w:val="28"/>
        </w:rPr>
        <w:t>1.</w:t>
      </w:r>
      <w:r>
        <w:rPr>
          <w:rFonts w:hint="eastAsia"/>
          <w:color w:val="000000" w:themeColor="text1"/>
          <w:kern w:val="0"/>
          <w:sz w:val="28"/>
          <w:szCs w:val="28"/>
        </w:rPr>
        <w:t>动土作业前，未检查工具、现场支撑是否牢固、完好，或发现问题时未及时处理。</w:t>
      </w:r>
    </w:p>
    <w:p>
      <w:pPr>
        <w:spacing w:line="500" w:lineRule="exact"/>
        <w:ind w:firstLine="560" w:firstLineChars="200"/>
        <w:rPr>
          <w:color w:val="000000" w:themeColor="text1"/>
          <w:sz w:val="28"/>
          <w:szCs w:val="28"/>
        </w:rPr>
      </w:pPr>
      <w:r>
        <w:rPr>
          <w:rFonts w:hint="eastAsia"/>
          <w:color w:val="000000" w:themeColor="text1"/>
          <w:sz w:val="28"/>
          <w:szCs w:val="28"/>
        </w:rPr>
        <w:t>2.</w:t>
      </w:r>
      <w:r>
        <w:rPr>
          <w:rFonts w:hint="eastAsia"/>
          <w:color w:val="000000" w:themeColor="text1"/>
          <w:kern w:val="0"/>
          <w:sz w:val="28"/>
          <w:szCs w:val="28"/>
        </w:rPr>
        <w:t>作业现场未根据需要设护栏、盖板或警告标志，夜间未悬挂警示灯。</w:t>
      </w:r>
    </w:p>
    <w:p>
      <w:pPr>
        <w:spacing w:line="500" w:lineRule="exact"/>
        <w:ind w:firstLine="560" w:firstLineChars="200"/>
        <w:rPr>
          <w:color w:val="000000" w:themeColor="text1"/>
          <w:sz w:val="28"/>
          <w:szCs w:val="28"/>
        </w:rPr>
      </w:pPr>
      <w:r>
        <w:rPr>
          <w:rFonts w:hint="eastAsia"/>
          <w:color w:val="000000" w:themeColor="text1"/>
          <w:sz w:val="28"/>
          <w:szCs w:val="28"/>
        </w:rPr>
        <w:t>3.</w:t>
      </w:r>
      <w:r>
        <w:rPr>
          <w:rFonts w:hint="eastAsia"/>
          <w:color w:val="000000" w:themeColor="text1"/>
          <w:kern w:val="0"/>
          <w:sz w:val="28"/>
          <w:szCs w:val="28"/>
        </w:rPr>
        <w:t>在破土开挖前，未先做好地面或地下排水，以致地面水渗入作业面造成塌方。</w:t>
      </w:r>
    </w:p>
    <w:p>
      <w:pPr>
        <w:spacing w:line="500" w:lineRule="exact"/>
        <w:ind w:firstLine="560" w:firstLineChars="200"/>
        <w:rPr>
          <w:color w:val="000000" w:themeColor="text1"/>
          <w:kern w:val="0"/>
          <w:sz w:val="28"/>
          <w:szCs w:val="28"/>
        </w:rPr>
      </w:pPr>
      <w:r>
        <w:rPr>
          <w:rFonts w:hint="eastAsia"/>
          <w:color w:val="000000" w:themeColor="text1"/>
          <w:kern w:val="0"/>
          <w:sz w:val="28"/>
          <w:szCs w:val="28"/>
        </w:rPr>
        <w:t>4.作业前未先了解隐蔽设施的分布情况，需动地下隐蔽设施时，未使用适当工具挖掘，损坏埋地电缆、管线或不能辨认物品时而继续动土作业。</w:t>
      </w:r>
    </w:p>
    <w:p>
      <w:pPr>
        <w:spacing w:line="500" w:lineRule="exact"/>
        <w:ind w:firstLine="560" w:firstLineChars="200"/>
        <w:rPr>
          <w:color w:val="000000" w:themeColor="text1"/>
          <w:kern w:val="0"/>
          <w:sz w:val="28"/>
          <w:szCs w:val="28"/>
        </w:rPr>
      </w:pPr>
      <w:r>
        <w:rPr>
          <w:rFonts w:hint="eastAsia"/>
          <w:color w:val="000000" w:themeColor="text1"/>
          <w:kern w:val="0"/>
          <w:sz w:val="28"/>
          <w:szCs w:val="28"/>
        </w:rPr>
        <w:t>5.动土作业时，未设专人监护，或未按规范要求进行挖掘坑、槽、沟等作业造成坠落危险。</w:t>
      </w:r>
    </w:p>
    <w:p>
      <w:pPr>
        <w:spacing w:line="500" w:lineRule="exact"/>
        <w:ind w:firstLine="560" w:firstLineChars="200"/>
        <w:rPr>
          <w:color w:val="000000" w:themeColor="text1"/>
          <w:sz w:val="28"/>
          <w:szCs w:val="28"/>
        </w:rPr>
      </w:pPr>
      <w:r>
        <w:rPr>
          <w:rFonts w:hint="eastAsia"/>
          <w:color w:val="000000" w:themeColor="text1"/>
          <w:sz w:val="28"/>
          <w:szCs w:val="28"/>
        </w:rPr>
        <w:t>6.</w:t>
      </w:r>
      <w:r>
        <w:rPr>
          <w:rFonts w:hint="eastAsia"/>
          <w:color w:val="000000" w:themeColor="text1"/>
          <w:kern w:val="0"/>
          <w:sz w:val="28"/>
          <w:szCs w:val="28"/>
        </w:rPr>
        <w:t>在沟（槽、坑）下作业时，未按规定坡度顺序进行，或使用机械挖掘时进入机械旋转半径内，或2人以上作业人员同时挖土时距离较近造成坍塌危险。</w:t>
      </w:r>
    </w:p>
    <w:p>
      <w:pPr>
        <w:spacing w:line="500" w:lineRule="exact"/>
        <w:ind w:firstLine="560" w:firstLineChars="200"/>
        <w:rPr>
          <w:color w:val="000000" w:themeColor="text1"/>
          <w:sz w:val="28"/>
          <w:szCs w:val="28"/>
        </w:rPr>
      </w:pPr>
      <w:r>
        <w:rPr>
          <w:rFonts w:hint="eastAsia"/>
          <w:color w:val="000000" w:themeColor="text1"/>
          <w:kern w:val="0"/>
          <w:sz w:val="28"/>
          <w:szCs w:val="28"/>
        </w:rPr>
        <w:t>7.作业人员发现异常时，未立即撤离作业现场，或施工结束后未及时回填土石，未恢复地面设施。</w:t>
      </w: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3.5.5.7断路作业危险性分析</w:t>
      </w:r>
    </w:p>
    <w:p>
      <w:pPr>
        <w:spacing w:line="500" w:lineRule="exact"/>
        <w:ind w:firstLine="560" w:firstLineChars="200"/>
        <w:rPr>
          <w:color w:val="000000" w:themeColor="text1"/>
          <w:sz w:val="28"/>
          <w:szCs w:val="28"/>
        </w:rPr>
      </w:pPr>
      <w:r>
        <w:rPr>
          <w:rFonts w:hint="eastAsia"/>
          <w:color w:val="000000" w:themeColor="text1"/>
          <w:sz w:val="28"/>
          <w:szCs w:val="28"/>
        </w:rPr>
        <w:t>公司运行过程中需进行断路作业时，如作业前未制定相应的交通组织方案，未在断路的路口或相关道路上设置交通警示标志，或作业点不满足应急救援要求，有可能引发车辆伤害或发生物料泄漏时，未能及时得到救援而引发中毒、火灾爆炸等事故。</w:t>
      </w:r>
    </w:p>
    <w:p>
      <w:pPr>
        <w:pStyle w:val="19"/>
        <w:spacing w:afterLines="100" w:line="500" w:lineRule="exact"/>
        <w:rPr>
          <w:rFonts w:ascii="黑体" w:hAnsi="宋体" w:eastAsia="黑体"/>
          <w:color w:val="000000" w:themeColor="text1"/>
          <w:kern w:val="3"/>
          <w:sz w:val="28"/>
          <w:szCs w:val="28"/>
        </w:rPr>
      </w:pPr>
      <w:bookmarkStart w:id="1190" w:name="_Toc29353"/>
      <w:bookmarkStart w:id="1191" w:name="_Toc18395"/>
      <w:bookmarkStart w:id="1192" w:name="_Toc26726"/>
      <w:bookmarkStart w:id="1193" w:name="_Toc12698"/>
      <w:r>
        <w:rPr>
          <w:rFonts w:hint="eastAsia" w:ascii="黑体" w:hAnsi="宋体" w:eastAsia="黑体"/>
          <w:color w:val="000000" w:themeColor="text1"/>
          <w:kern w:val="3"/>
          <w:sz w:val="28"/>
          <w:szCs w:val="28"/>
        </w:rPr>
        <w:t>3.5.7设备检修作业危险性分析</w:t>
      </w:r>
      <w:bookmarkEnd w:id="1190"/>
      <w:bookmarkEnd w:id="1191"/>
      <w:bookmarkEnd w:id="1192"/>
      <w:bookmarkEnd w:id="1193"/>
    </w:p>
    <w:p>
      <w:pPr>
        <w:spacing w:line="500" w:lineRule="exact"/>
        <w:ind w:firstLine="560" w:firstLineChars="200"/>
        <w:rPr>
          <w:color w:val="000000" w:themeColor="text1"/>
          <w:sz w:val="28"/>
          <w:szCs w:val="28"/>
        </w:rPr>
      </w:pPr>
      <w:r>
        <w:rPr>
          <w:rFonts w:hint="eastAsia"/>
          <w:color w:val="000000" w:themeColor="text1"/>
          <w:sz w:val="28"/>
          <w:szCs w:val="28"/>
        </w:rPr>
        <w:t>结合该项目各设备、设施以及相应操作特点，在对其进行检修作业过程中可能会引发火灾爆炸、中毒窒息、机械伤害、物体打击、冻伤、触电等，其主要引发原因分析如下：</w:t>
      </w:r>
    </w:p>
    <w:p>
      <w:pPr>
        <w:numPr>
          <w:ilvl w:val="0"/>
          <w:numId w:val="13"/>
        </w:numPr>
        <w:spacing w:line="500" w:lineRule="exact"/>
        <w:ind w:firstLine="560" w:firstLineChars="200"/>
        <w:rPr>
          <w:color w:val="000000" w:themeColor="text1"/>
          <w:sz w:val="28"/>
          <w:szCs w:val="28"/>
        </w:rPr>
      </w:pPr>
      <w:r>
        <w:rPr>
          <w:rFonts w:hint="eastAsia"/>
          <w:color w:val="000000" w:themeColor="text1"/>
          <w:sz w:val="28"/>
          <w:szCs w:val="28"/>
        </w:rPr>
        <w:t>外协检修单位无相关资质，不具备检修作业和安全管理能力或检修作业责任未落实，与相关单位未签订安全协议。</w:t>
      </w:r>
    </w:p>
    <w:p>
      <w:pPr>
        <w:numPr>
          <w:ilvl w:val="0"/>
          <w:numId w:val="13"/>
        </w:numPr>
        <w:spacing w:line="500" w:lineRule="exact"/>
        <w:ind w:firstLine="560" w:firstLineChars="200"/>
        <w:rPr>
          <w:color w:val="000000" w:themeColor="text1"/>
          <w:sz w:val="28"/>
          <w:szCs w:val="28"/>
        </w:rPr>
      </w:pPr>
      <w:r>
        <w:rPr>
          <w:rFonts w:hint="eastAsia"/>
          <w:color w:val="000000" w:themeColor="text1"/>
          <w:sz w:val="28"/>
          <w:szCs w:val="28"/>
        </w:rPr>
        <w:t>检修作业准备不充分，未制定检修方案，方案未经审核，未进行现场交底，或未对检修过程可能出现的危险性进行充分分析，未制定相应应对措施或措施不到位而引发火灾爆炸、中毒窒息等危险。</w:t>
      </w:r>
    </w:p>
    <w:p>
      <w:pPr>
        <w:numPr>
          <w:ilvl w:val="0"/>
          <w:numId w:val="13"/>
        </w:numPr>
        <w:spacing w:line="500" w:lineRule="exact"/>
        <w:ind w:firstLine="560" w:firstLineChars="200"/>
        <w:rPr>
          <w:color w:val="000000" w:themeColor="text1"/>
          <w:sz w:val="28"/>
          <w:szCs w:val="28"/>
        </w:rPr>
      </w:pPr>
      <w:r>
        <w:rPr>
          <w:rFonts w:hint="eastAsia"/>
          <w:color w:val="000000" w:themeColor="text1"/>
          <w:sz w:val="28"/>
          <w:szCs w:val="28"/>
        </w:rPr>
        <w:t>检修液氧设备、管道时，未采取防冻措施，导致低温冻伤。</w:t>
      </w:r>
    </w:p>
    <w:p>
      <w:pPr>
        <w:numPr>
          <w:ilvl w:val="0"/>
          <w:numId w:val="13"/>
        </w:numPr>
        <w:spacing w:line="500" w:lineRule="exact"/>
        <w:ind w:firstLine="560" w:firstLineChars="200"/>
        <w:rPr>
          <w:color w:val="000000" w:themeColor="text1"/>
          <w:sz w:val="28"/>
          <w:szCs w:val="28"/>
        </w:rPr>
      </w:pPr>
      <w:r>
        <w:rPr>
          <w:rFonts w:hint="eastAsia"/>
          <w:color w:val="000000" w:themeColor="text1"/>
          <w:sz w:val="28"/>
          <w:szCs w:val="28"/>
        </w:rPr>
        <w:t>检修人员如电焊、电气作业等人员未经培训，无证上岗或检修前未对</w:t>
      </w:r>
      <w:r>
        <w:rPr>
          <w:color w:val="000000" w:themeColor="text1"/>
          <w:sz w:val="28"/>
          <w:szCs w:val="28"/>
        </w:rPr>
        <w:t>检修作业使用的脚手架、起重机械、电气焊用具、手持电动工具等各种工器具进行检查；手持式、移动式电气工器具</w:t>
      </w:r>
      <w:r>
        <w:rPr>
          <w:rFonts w:hint="eastAsia"/>
          <w:color w:val="000000" w:themeColor="text1"/>
          <w:sz w:val="28"/>
          <w:szCs w:val="28"/>
        </w:rPr>
        <w:t>无</w:t>
      </w:r>
      <w:r>
        <w:rPr>
          <w:color w:val="000000" w:themeColor="text1"/>
          <w:sz w:val="28"/>
          <w:szCs w:val="28"/>
        </w:rPr>
        <w:t>漏电保护装置</w:t>
      </w:r>
      <w:r>
        <w:rPr>
          <w:rFonts w:hint="eastAsia"/>
          <w:color w:val="000000" w:themeColor="text1"/>
          <w:sz w:val="28"/>
          <w:szCs w:val="28"/>
        </w:rPr>
        <w:t>。</w:t>
      </w:r>
    </w:p>
    <w:p>
      <w:pPr>
        <w:numPr>
          <w:ilvl w:val="0"/>
          <w:numId w:val="13"/>
        </w:numPr>
        <w:spacing w:line="500" w:lineRule="exact"/>
        <w:ind w:firstLine="560" w:firstLineChars="200"/>
        <w:rPr>
          <w:color w:val="000000" w:themeColor="text1"/>
          <w:sz w:val="28"/>
          <w:szCs w:val="28"/>
        </w:rPr>
      </w:pPr>
      <w:r>
        <w:rPr>
          <w:color w:val="000000" w:themeColor="text1"/>
          <w:sz w:val="28"/>
          <w:szCs w:val="28"/>
        </w:rPr>
        <w:t>检修现场存在的可能危及安全的坑、井、沟、孔洞等</w:t>
      </w:r>
      <w:r>
        <w:rPr>
          <w:rFonts w:hint="eastAsia"/>
          <w:color w:val="000000" w:themeColor="text1"/>
          <w:sz w:val="28"/>
          <w:szCs w:val="28"/>
        </w:rPr>
        <w:t>无</w:t>
      </w:r>
      <w:r>
        <w:rPr>
          <w:color w:val="000000" w:themeColor="text1"/>
          <w:sz w:val="28"/>
          <w:szCs w:val="28"/>
        </w:rPr>
        <w:t>有效防护措施，</w:t>
      </w:r>
      <w:r>
        <w:rPr>
          <w:rFonts w:hint="eastAsia"/>
          <w:color w:val="000000" w:themeColor="text1"/>
          <w:sz w:val="28"/>
          <w:szCs w:val="28"/>
        </w:rPr>
        <w:t>未</w:t>
      </w:r>
      <w:r>
        <w:rPr>
          <w:color w:val="000000" w:themeColor="text1"/>
          <w:sz w:val="28"/>
          <w:szCs w:val="28"/>
        </w:rPr>
        <w:t>设置警告标志</w:t>
      </w:r>
      <w:r>
        <w:rPr>
          <w:rFonts w:hint="eastAsia"/>
          <w:color w:val="000000" w:themeColor="text1"/>
          <w:sz w:val="28"/>
          <w:szCs w:val="28"/>
        </w:rPr>
        <w:t>。</w:t>
      </w:r>
    </w:p>
    <w:p>
      <w:pPr>
        <w:numPr>
          <w:ilvl w:val="0"/>
          <w:numId w:val="13"/>
        </w:numPr>
        <w:spacing w:line="500" w:lineRule="exact"/>
        <w:ind w:firstLine="560" w:firstLineChars="200"/>
        <w:rPr>
          <w:color w:val="000000" w:themeColor="text1"/>
          <w:sz w:val="28"/>
          <w:szCs w:val="28"/>
        </w:rPr>
      </w:pPr>
      <w:r>
        <w:rPr>
          <w:color w:val="000000" w:themeColor="text1"/>
          <w:sz w:val="28"/>
          <w:szCs w:val="28"/>
        </w:rPr>
        <w:t>检修设备</w:t>
      </w:r>
      <w:r>
        <w:rPr>
          <w:rFonts w:hint="eastAsia"/>
          <w:color w:val="000000" w:themeColor="text1"/>
          <w:sz w:val="28"/>
          <w:szCs w:val="28"/>
        </w:rPr>
        <w:t>未采取</w:t>
      </w:r>
      <w:r>
        <w:rPr>
          <w:color w:val="000000" w:themeColor="text1"/>
          <w:sz w:val="28"/>
          <w:szCs w:val="28"/>
        </w:rPr>
        <w:t>可靠的断电措施，</w:t>
      </w:r>
      <w:r>
        <w:rPr>
          <w:rFonts w:hint="eastAsia"/>
          <w:color w:val="000000" w:themeColor="text1"/>
          <w:sz w:val="28"/>
          <w:szCs w:val="28"/>
        </w:rPr>
        <w:t>开关、控制柜处未设警示标识或加锁；</w:t>
      </w:r>
      <w:r>
        <w:rPr>
          <w:color w:val="000000" w:themeColor="text1"/>
          <w:sz w:val="28"/>
          <w:szCs w:val="28"/>
        </w:rPr>
        <w:t>检修</w:t>
      </w:r>
      <w:r>
        <w:rPr>
          <w:rFonts w:hint="eastAsia"/>
          <w:color w:val="000000" w:themeColor="text1"/>
          <w:sz w:val="28"/>
          <w:szCs w:val="28"/>
        </w:rPr>
        <w:t>易爆气瓶</w:t>
      </w:r>
      <w:r>
        <w:rPr>
          <w:color w:val="000000" w:themeColor="text1"/>
          <w:sz w:val="28"/>
          <w:szCs w:val="28"/>
        </w:rPr>
        <w:t>时，未按照动火检修作业严格管理，未采用防爆检修工具</w:t>
      </w:r>
      <w:r>
        <w:rPr>
          <w:rFonts w:hint="eastAsia"/>
          <w:color w:val="000000" w:themeColor="text1"/>
          <w:sz w:val="28"/>
          <w:szCs w:val="28"/>
        </w:rPr>
        <w:t>。</w:t>
      </w:r>
    </w:p>
    <w:p>
      <w:pPr>
        <w:numPr>
          <w:ilvl w:val="0"/>
          <w:numId w:val="13"/>
        </w:numPr>
        <w:spacing w:line="500" w:lineRule="exact"/>
        <w:ind w:firstLine="560" w:firstLineChars="200"/>
        <w:rPr>
          <w:color w:val="000000" w:themeColor="text1"/>
          <w:sz w:val="28"/>
          <w:szCs w:val="28"/>
        </w:rPr>
      </w:pPr>
      <w:r>
        <w:rPr>
          <w:rFonts w:hint="eastAsia"/>
          <w:color w:val="000000" w:themeColor="text1"/>
          <w:sz w:val="28"/>
          <w:szCs w:val="28"/>
        </w:rPr>
        <w:t>检修设备未进行清理、置换或置换不合格，进入低温液体贮槽后易造成中毒、窒息等危险。</w:t>
      </w:r>
    </w:p>
    <w:p>
      <w:pPr>
        <w:numPr>
          <w:ilvl w:val="0"/>
          <w:numId w:val="13"/>
        </w:numPr>
        <w:spacing w:line="500" w:lineRule="exact"/>
        <w:ind w:firstLine="560" w:firstLineChars="200"/>
        <w:rPr>
          <w:color w:val="000000" w:themeColor="text1"/>
          <w:sz w:val="28"/>
          <w:szCs w:val="28"/>
        </w:rPr>
      </w:pPr>
      <w:r>
        <w:rPr>
          <w:rFonts w:hint="eastAsia"/>
          <w:color w:val="000000" w:themeColor="text1"/>
          <w:sz w:val="28"/>
          <w:szCs w:val="28"/>
        </w:rPr>
        <w:t>作业人员未经培训，安全意识淡薄，不按检修操作规程要求进行检修，违章作业等，或检修作业人员未佩戴安全绳、安全帽等劳动保护用品等；</w:t>
      </w:r>
    </w:p>
    <w:p>
      <w:pPr>
        <w:numPr>
          <w:ilvl w:val="0"/>
          <w:numId w:val="13"/>
        </w:numPr>
        <w:spacing w:line="500" w:lineRule="exact"/>
        <w:ind w:firstLine="560" w:firstLineChars="200"/>
        <w:rPr>
          <w:color w:val="000000" w:themeColor="text1"/>
          <w:sz w:val="28"/>
          <w:szCs w:val="28"/>
        </w:rPr>
      </w:pPr>
      <w:r>
        <w:rPr>
          <w:rFonts w:hint="eastAsia"/>
          <w:color w:val="000000" w:themeColor="text1"/>
          <w:sz w:val="28"/>
          <w:szCs w:val="28"/>
        </w:rPr>
        <w:t>检修过程进行电焊作业，操作不当或未佩戴相应劳动防护用品可能被焊渣烫伤。</w:t>
      </w:r>
    </w:p>
    <w:p>
      <w:pPr>
        <w:numPr>
          <w:ilvl w:val="0"/>
          <w:numId w:val="13"/>
        </w:numPr>
        <w:spacing w:line="500" w:lineRule="exact"/>
        <w:ind w:firstLine="560" w:firstLineChars="200"/>
        <w:rPr>
          <w:color w:val="000000" w:themeColor="text1"/>
          <w:sz w:val="28"/>
          <w:szCs w:val="28"/>
        </w:rPr>
      </w:pPr>
      <w:r>
        <w:rPr>
          <w:rFonts w:hint="eastAsia"/>
          <w:color w:val="000000" w:themeColor="text1"/>
          <w:sz w:val="28"/>
          <w:szCs w:val="28"/>
        </w:rPr>
        <w:t>检修过程使用的机械设备，一旦转动部位未采取防护或防护失效，设备存在尖锐边角等，可能引发机械伤害。</w:t>
      </w:r>
    </w:p>
    <w:p>
      <w:pPr>
        <w:numPr>
          <w:ilvl w:val="0"/>
          <w:numId w:val="13"/>
        </w:numPr>
        <w:spacing w:line="500" w:lineRule="exact"/>
        <w:ind w:firstLine="560" w:firstLineChars="200"/>
        <w:rPr>
          <w:color w:val="000000" w:themeColor="text1"/>
        </w:rPr>
      </w:pPr>
      <w:r>
        <w:rPr>
          <w:rFonts w:hint="eastAsia"/>
          <w:color w:val="000000" w:themeColor="text1"/>
          <w:sz w:val="28"/>
          <w:szCs w:val="28"/>
        </w:rPr>
        <w:t xml:space="preserve">机械设备工作不正常发出噪声太大或人员长期处于噪声环境，可导致噪声聋，或检修完成后拆除的设备安全附件如机械防护罩等不恢复。  </w:t>
      </w:r>
    </w:p>
    <w:p>
      <w:pPr>
        <w:pStyle w:val="19"/>
        <w:spacing w:afterLines="100" w:line="500" w:lineRule="exact"/>
        <w:rPr>
          <w:rFonts w:ascii="黑体" w:hAnsi="宋体" w:eastAsia="黑体"/>
          <w:color w:val="000000" w:themeColor="text1"/>
          <w:kern w:val="3"/>
          <w:sz w:val="28"/>
          <w:szCs w:val="28"/>
        </w:rPr>
      </w:pPr>
      <w:bookmarkStart w:id="1194" w:name="_Toc21288"/>
      <w:bookmarkStart w:id="1195" w:name="_Toc10041"/>
      <w:bookmarkStart w:id="1196" w:name="_Toc5431"/>
      <w:r>
        <w:rPr>
          <w:rFonts w:hint="eastAsia" w:ascii="黑体" w:hAnsi="宋体" w:eastAsia="黑体"/>
          <w:color w:val="000000" w:themeColor="text1"/>
          <w:kern w:val="3"/>
          <w:sz w:val="28"/>
          <w:szCs w:val="28"/>
        </w:rPr>
        <w:t>3.5.</w:t>
      </w:r>
      <w:bookmarkStart w:id="1197" w:name="_Toc319753486"/>
      <w:r>
        <w:rPr>
          <w:rFonts w:hint="eastAsia" w:ascii="黑体" w:hAnsi="宋体" w:eastAsia="黑体"/>
          <w:color w:val="000000" w:themeColor="text1"/>
          <w:kern w:val="3"/>
          <w:sz w:val="28"/>
          <w:szCs w:val="28"/>
        </w:rPr>
        <w:t>8安全管理危险性分析</w:t>
      </w:r>
      <w:bookmarkEnd w:id="1181"/>
      <w:bookmarkEnd w:id="1182"/>
      <w:bookmarkEnd w:id="1183"/>
      <w:bookmarkEnd w:id="1184"/>
      <w:bookmarkEnd w:id="1185"/>
      <w:bookmarkEnd w:id="1186"/>
      <w:bookmarkEnd w:id="1187"/>
      <w:bookmarkEnd w:id="1188"/>
      <w:bookmarkEnd w:id="1189"/>
      <w:bookmarkEnd w:id="1194"/>
      <w:bookmarkEnd w:id="1195"/>
      <w:bookmarkEnd w:id="1196"/>
      <w:bookmarkEnd w:id="1197"/>
    </w:p>
    <w:p>
      <w:pPr>
        <w:tabs>
          <w:tab w:val="left" w:pos="3900"/>
        </w:tabs>
        <w:adjustRightInd w:val="0"/>
        <w:snapToGrid w:val="0"/>
        <w:spacing w:line="500" w:lineRule="exact"/>
        <w:ind w:firstLine="560" w:firstLineChars="200"/>
        <w:rPr>
          <w:snapToGrid w:val="0"/>
          <w:color w:val="000000" w:themeColor="text1"/>
          <w:kern w:val="0"/>
          <w:sz w:val="28"/>
          <w:szCs w:val="28"/>
          <w:lang w:val="zh-CN"/>
        </w:rPr>
      </w:pPr>
      <w:r>
        <w:rPr>
          <w:color w:val="000000" w:themeColor="text1"/>
          <w:sz w:val="28"/>
          <w:szCs w:val="28"/>
        </w:rPr>
        <w:t>安全管理是为保证及时、有效地实现既定的安全目标，是在预测、分析的基础上进行的计划、组织、协调、检查等工作，是预防故障和人员失误发生的有效手段，因此，安全管理缺陷是影响运行失控发生的重要因素。</w:t>
      </w:r>
      <w:r>
        <w:rPr>
          <w:snapToGrid w:val="0"/>
          <w:color w:val="000000" w:themeColor="text1"/>
          <w:kern w:val="0"/>
          <w:sz w:val="28"/>
          <w:szCs w:val="28"/>
          <w:lang w:val="zh-CN"/>
        </w:rPr>
        <w:t>由于安全管理缺陷，该项目可能引发的主要危险性，如火灾、其他爆炸、中毒和窒息、触电、车辆伤害等事故。</w:t>
      </w:r>
    </w:p>
    <w:p>
      <w:pPr>
        <w:tabs>
          <w:tab w:val="left" w:pos="3900"/>
        </w:tabs>
        <w:adjustRightInd w:val="0"/>
        <w:snapToGrid w:val="0"/>
        <w:spacing w:line="500" w:lineRule="exact"/>
        <w:ind w:firstLine="560" w:firstLineChars="200"/>
        <w:rPr>
          <w:snapToGrid w:val="0"/>
          <w:color w:val="000000" w:themeColor="text1"/>
          <w:kern w:val="0"/>
          <w:sz w:val="28"/>
          <w:szCs w:val="28"/>
          <w:lang w:val="zh-CN"/>
        </w:rPr>
      </w:pPr>
      <w:r>
        <w:rPr>
          <w:snapToGrid w:val="0"/>
          <w:color w:val="000000" w:themeColor="text1"/>
          <w:kern w:val="0"/>
          <w:sz w:val="28"/>
          <w:szCs w:val="28"/>
          <w:lang w:val="zh-CN"/>
        </w:rPr>
        <w:t>该项目安全管理缺陷主要体现在以下几个方面：</w:t>
      </w:r>
    </w:p>
    <w:p>
      <w:pPr>
        <w:tabs>
          <w:tab w:val="left" w:pos="945"/>
        </w:tabs>
        <w:autoSpaceDE w:val="0"/>
        <w:autoSpaceDN w:val="0"/>
        <w:adjustRightInd w:val="0"/>
        <w:spacing w:line="500" w:lineRule="exact"/>
        <w:ind w:firstLine="560" w:firstLineChars="200"/>
        <w:jc w:val="left"/>
        <w:rPr>
          <w:color w:val="000000" w:themeColor="text1"/>
          <w:sz w:val="28"/>
          <w:szCs w:val="28"/>
        </w:rPr>
      </w:pPr>
      <w:r>
        <w:rPr>
          <w:color w:val="000000" w:themeColor="text1"/>
          <w:sz w:val="28"/>
          <w:szCs w:val="28"/>
        </w:rPr>
        <w:t>1</w:t>
      </w:r>
      <w:r>
        <w:rPr>
          <w:rFonts w:hint="eastAsia"/>
          <w:color w:val="000000" w:themeColor="text1"/>
          <w:sz w:val="28"/>
          <w:szCs w:val="28"/>
        </w:rPr>
        <w:t>.</w:t>
      </w:r>
      <w:r>
        <w:rPr>
          <w:color w:val="000000" w:themeColor="text1"/>
          <w:sz w:val="28"/>
          <w:szCs w:val="28"/>
        </w:rPr>
        <w:t>安全管理组织缺陷，如安全管理组织机构的结构、人员组成不适应甲醇储存要求；未按要求配备管理人员，造成安全管理工作中存在衔接不当、管理空白等；人员职权交叉，造成管理混乱；在解决重大问题上由一人凭借经验作决策，没有征求大多数人的意见。</w:t>
      </w:r>
    </w:p>
    <w:p>
      <w:pPr>
        <w:tabs>
          <w:tab w:val="left" w:pos="945"/>
        </w:tabs>
        <w:autoSpaceDE w:val="0"/>
        <w:autoSpaceDN w:val="0"/>
        <w:adjustRightInd w:val="0"/>
        <w:spacing w:line="500" w:lineRule="exact"/>
        <w:ind w:firstLine="560" w:firstLineChars="200"/>
        <w:jc w:val="left"/>
        <w:rPr>
          <w:color w:val="000000" w:themeColor="text1"/>
          <w:sz w:val="28"/>
          <w:szCs w:val="28"/>
        </w:rPr>
      </w:pPr>
      <w:r>
        <w:rPr>
          <w:color w:val="000000" w:themeColor="text1"/>
          <w:sz w:val="28"/>
          <w:szCs w:val="28"/>
        </w:rPr>
        <w:t>2</w:t>
      </w:r>
      <w:r>
        <w:rPr>
          <w:rFonts w:hint="eastAsia"/>
          <w:color w:val="000000" w:themeColor="text1"/>
          <w:sz w:val="28"/>
          <w:szCs w:val="28"/>
        </w:rPr>
        <w:t>.</w:t>
      </w:r>
      <w:r>
        <w:rPr>
          <w:color w:val="000000" w:themeColor="text1"/>
          <w:sz w:val="28"/>
          <w:szCs w:val="28"/>
        </w:rPr>
        <w:t>安全规章管理制度存在缺陷，如未根据自身特点制定、完善安全责任制、安全管理制度，造成工作中无章可循，次序混乱；安全责任制未落实到每个环节、每个岗位、每个人，各自职责不明确；不同的安全规章管理制度之间缺少相互配合和促进机制；安全规章制度流于形式，内容不完善；安全规章管理制度要求与实际工作脱节等。</w:t>
      </w:r>
    </w:p>
    <w:p>
      <w:pPr>
        <w:tabs>
          <w:tab w:val="left" w:pos="945"/>
        </w:tabs>
        <w:autoSpaceDE w:val="0"/>
        <w:autoSpaceDN w:val="0"/>
        <w:adjustRightInd w:val="0"/>
        <w:spacing w:line="500" w:lineRule="exact"/>
        <w:ind w:firstLine="560" w:firstLineChars="200"/>
        <w:jc w:val="left"/>
        <w:rPr>
          <w:color w:val="000000" w:themeColor="text1"/>
          <w:sz w:val="28"/>
          <w:szCs w:val="28"/>
        </w:rPr>
      </w:pPr>
      <w:r>
        <w:rPr>
          <w:color w:val="000000" w:themeColor="text1"/>
          <w:sz w:val="28"/>
          <w:szCs w:val="28"/>
        </w:rPr>
        <w:t>3</w:t>
      </w:r>
      <w:r>
        <w:rPr>
          <w:rFonts w:hint="eastAsia"/>
          <w:color w:val="000000" w:themeColor="text1"/>
          <w:sz w:val="28"/>
          <w:szCs w:val="28"/>
        </w:rPr>
        <w:t>.</w:t>
      </w:r>
      <w:r>
        <w:rPr>
          <w:color w:val="000000" w:themeColor="text1"/>
          <w:sz w:val="28"/>
          <w:szCs w:val="28"/>
        </w:rPr>
        <w:t>对从业人员的安全教育培训不足，如安全管理人员和操作人员未经过培训考核或培训学时不足，不具备相应的安全知识和上岗能力；员工素质低下，知识陈旧，观念落后，致使人员安全意识差、不安全行为数量增多；忽视对外协用工、外来人员的安全教育培训等。</w:t>
      </w:r>
    </w:p>
    <w:p>
      <w:pPr>
        <w:tabs>
          <w:tab w:val="left" w:pos="945"/>
        </w:tabs>
        <w:autoSpaceDE w:val="0"/>
        <w:autoSpaceDN w:val="0"/>
        <w:adjustRightInd w:val="0"/>
        <w:spacing w:line="500" w:lineRule="exact"/>
        <w:ind w:firstLine="560" w:firstLineChars="200"/>
        <w:jc w:val="left"/>
        <w:rPr>
          <w:color w:val="000000" w:themeColor="text1"/>
          <w:sz w:val="28"/>
          <w:szCs w:val="28"/>
        </w:rPr>
      </w:pPr>
      <w:r>
        <w:rPr>
          <w:color w:val="000000" w:themeColor="text1"/>
          <w:sz w:val="28"/>
          <w:szCs w:val="28"/>
        </w:rPr>
        <w:t>4</w:t>
      </w:r>
      <w:r>
        <w:rPr>
          <w:rFonts w:hint="eastAsia"/>
          <w:color w:val="000000" w:themeColor="text1"/>
          <w:sz w:val="28"/>
          <w:szCs w:val="28"/>
        </w:rPr>
        <w:t>.</w:t>
      </w:r>
      <w:r>
        <w:rPr>
          <w:color w:val="000000" w:themeColor="text1"/>
          <w:sz w:val="28"/>
          <w:szCs w:val="28"/>
        </w:rPr>
        <w:t>安全投入不足，安全教育培训不够、个人防护不到位、安全设施配备不足、未提供事故隐患排查治理所需的资金等导致事故的发生。</w:t>
      </w:r>
    </w:p>
    <w:p>
      <w:pPr>
        <w:tabs>
          <w:tab w:val="left" w:pos="945"/>
        </w:tabs>
        <w:autoSpaceDE w:val="0"/>
        <w:autoSpaceDN w:val="0"/>
        <w:adjustRightInd w:val="0"/>
        <w:spacing w:line="500" w:lineRule="exact"/>
        <w:ind w:firstLine="560" w:firstLineChars="200"/>
        <w:jc w:val="left"/>
        <w:rPr>
          <w:color w:val="000000" w:themeColor="text1"/>
          <w:sz w:val="28"/>
          <w:szCs w:val="28"/>
        </w:rPr>
      </w:pPr>
      <w:r>
        <w:rPr>
          <w:color w:val="000000" w:themeColor="text1"/>
          <w:sz w:val="28"/>
          <w:szCs w:val="28"/>
        </w:rPr>
        <w:t>5</w:t>
      </w:r>
      <w:r>
        <w:rPr>
          <w:rFonts w:hint="eastAsia"/>
          <w:color w:val="000000" w:themeColor="text1"/>
          <w:sz w:val="28"/>
          <w:szCs w:val="28"/>
        </w:rPr>
        <w:t>.</w:t>
      </w:r>
      <w:r>
        <w:rPr>
          <w:color w:val="000000" w:themeColor="text1"/>
          <w:sz w:val="28"/>
          <w:szCs w:val="28"/>
        </w:rPr>
        <w:t>为节约成本，不提供符合要求的安全防护设施和个人使用的劳动防护用品。</w:t>
      </w:r>
    </w:p>
    <w:p>
      <w:pPr>
        <w:tabs>
          <w:tab w:val="left" w:pos="945"/>
        </w:tabs>
        <w:autoSpaceDE w:val="0"/>
        <w:autoSpaceDN w:val="0"/>
        <w:adjustRightInd w:val="0"/>
        <w:spacing w:line="500" w:lineRule="exact"/>
        <w:ind w:firstLine="560" w:firstLineChars="200"/>
        <w:jc w:val="left"/>
        <w:rPr>
          <w:color w:val="000000" w:themeColor="text1"/>
          <w:sz w:val="28"/>
          <w:szCs w:val="28"/>
        </w:rPr>
      </w:pPr>
      <w:r>
        <w:rPr>
          <w:color w:val="000000" w:themeColor="text1"/>
          <w:sz w:val="28"/>
          <w:szCs w:val="28"/>
        </w:rPr>
        <w:t>6</w:t>
      </w:r>
      <w:r>
        <w:rPr>
          <w:rFonts w:hint="eastAsia"/>
          <w:color w:val="000000" w:themeColor="text1"/>
          <w:sz w:val="28"/>
          <w:szCs w:val="28"/>
        </w:rPr>
        <w:t>.</w:t>
      </w:r>
      <w:r>
        <w:rPr>
          <w:color w:val="000000" w:themeColor="text1"/>
          <w:sz w:val="28"/>
          <w:szCs w:val="28"/>
        </w:rPr>
        <w:t>未建立甲醇安全储存记录档案，不利于及时、全面系统的掌握厂内甲醇储存安全动态；不利于分析储存过程中的危险因素和作出安全管理决策。</w:t>
      </w:r>
    </w:p>
    <w:p>
      <w:pPr>
        <w:tabs>
          <w:tab w:val="left" w:pos="945"/>
        </w:tabs>
        <w:autoSpaceDE w:val="0"/>
        <w:autoSpaceDN w:val="0"/>
        <w:adjustRightInd w:val="0"/>
        <w:spacing w:line="500" w:lineRule="exact"/>
        <w:ind w:firstLine="560" w:firstLineChars="200"/>
        <w:jc w:val="left"/>
        <w:rPr>
          <w:color w:val="000000" w:themeColor="text1"/>
          <w:sz w:val="28"/>
          <w:szCs w:val="28"/>
        </w:rPr>
      </w:pPr>
      <w:r>
        <w:rPr>
          <w:color w:val="000000" w:themeColor="text1"/>
          <w:sz w:val="28"/>
          <w:szCs w:val="28"/>
        </w:rPr>
        <w:t>7</w:t>
      </w:r>
      <w:r>
        <w:rPr>
          <w:rFonts w:hint="eastAsia"/>
          <w:color w:val="000000" w:themeColor="text1"/>
          <w:sz w:val="28"/>
          <w:szCs w:val="28"/>
        </w:rPr>
        <w:t>.</w:t>
      </w:r>
      <w:r>
        <w:rPr>
          <w:color w:val="000000" w:themeColor="text1"/>
          <w:sz w:val="28"/>
          <w:szCs w:val="28"/>
        </w:rPr>
        <w:t>管理人员监督检查力度不足，有禁不止，有令不行，滋生违章行为等。</w:t>
      </w:r>
    </w:p>
    <w:p>
      <w:pPr>
        <w:tabs>
          <w:tab w:val="left" w:pos="945"/>
        </w:tabs>
        <w:autoSpaceDE w:val="0"/>
        <w:autoSpaceDN w:val="0"/>
        <w:adjustRightInd w:val="0"/>
        <w:spacing w:line="500" w:lineRule="exact"/>
        <w:ind w:firstLine="560" w:firstLineChars="200"/>
        <w:jc w:val="left"/>
        <w:rPr>
          <w:color w:val="000000" w:themeColor="text1"/>
          <w:sz w:val="28"/>
          <w:szCs w:val="28"/>
        </w:rPr>
      </w:pPr>
      <w:r>
        <w:rPr>
          <w:color w:val="000000" w:themeColor="text1"/>
          <w:sz w:val="28"/>
          <w:szCs w:val="28"/>
        </w:rPr>
        <w:t>8</w:t>
      </w:r>
      <w:r>
        <w:rPr>
          <w:rFonts w:hint="eastAsia"/>
          <w:color w:val="000000" w:themeColor="text1"/>
          <w:sz w:val="28"/>
          <w:szCs w:val="28"/>
        </w:rPr>
        <w:t>.</w:t>
      </w:r>
      <w:r>
        <w:rPr>
          <w:color w:val="000000" w:themeColor="text1"/>
          <w:sz w:val="28"/>
          <w:szCs w:val="28"/>
        </w:rPr>
        <w:t>隐患排查不彻底，治理措施不得当等其他安全管理方面的原因</w:t>
      </w:r>
    </w:p>
    <w:p>
      <w:pPr>
        <w:tabs>
          <w:tab w:val="left" w:pos="945"/>
        </w:tabs>
        <w:autoSpaceDE w:val="0"/>
        <w:autoSpaceDN w:val="0"/>
        <w:adjustRightInd w:val="0"/>
        <w:spacing w:line="500" w:lineRule="exact"/>
        <w:ind w:firstLine="560" w:firstLineChars="200"/>
        <w:jc w:val="left"/>
        <w:rPr>
          <w:color w:val="000000" w:themeColor="text1"/>
          <w:sz w:val="28"/>
          <w:szCs w:val="28"/>
        </w:rPr>
      </w:pPr>
      <w:r>
        <w:rPr>
          <w:color w:val="000000" w:themeColor="text1"/>
          <w:sz w:val="28"/>
          <w:szCs w:val="28"/>
        </w:rPr>
        <w:t>9</w:t>
      </w:r>
      <w:r>
        <w:rPr>
          <w:rFonts w:hint="eastAsia"/>
          <w:color w:val="000000" w:themeColor="text1"/>
          <w:sz w:val="28"/>
          <w:szCs w:val="28"/>
        </w:rPr>
        <w:t>.</w:t>
      </w:r>
      <w:r>
        <w:rPr>
          <w:color w:val="000000" w:themeColor="text1"/>
          <w:sz w:val="28"/>
          <w:szCs w:val="28"/>
        </w:rPr>
        <w:t>厂内从业人员不熟悉掌握甲醇的理化特性、危险危害以及防护、救护措施和与其相关联的供、销单位危险化学品装卸和运输环节中的危险有害因素容易引发安全事故。</w:t>
      </w:r>
    </w:p>
    <w:p>
      <w:pPr>
        <w:tabs>
          <w:tab w:val="left" w:pos="945"/>
        </w:tabs>
        <w:autoSpaceDE w:val="0"/>
        <w:autoSpaceDN w:val="0"/>
        <w:adjustRightInd w:val="0"/>
        <w:spacing w:line="500" w:lineRule="exact"/>
        <w:ind w:firstLine="560" w:firstLineChars="200"/>
        <w:jc w:val="left"/>
        <w:rPr>
          <w:color w:val="000000" w:themeColor="text1"/>
          <w:sz w:val="28"/>
          <w:szCs w:val="28"/>
        </w:rPr>
      </w:pPr>
      <w:r>
        <w:rPr>
          <w:color w:val="000000" w:themeColor="text1"/>
          <w:sz w:val="28"/>
          <w:szCs w:val="28"/>
        </w:rPr>
        <w:t>10</w:t>
      </w:r>
      <w:r>
        <w:rPr>
          <w:rFonts w:hint="eastAsia"/>
          <w:color w:val="000000" w:themeColor="text1"/>
          <w:sz w:val="28"/>
          <w:szCs w:val="28"/>
        </w:rPr>
        <w:t>.</w:t>
      </w:r>
      <w:r>
        <w:rPr>
          <w:color w:val="000000" w:themeColor="text1"/>
          <w:sz w:val="28"/>
          <w:szCs w:val="28"/>
        </w:rPr>
        <w:t>对事故管理不当，使事故恶化，如迟报、漏报、谎报或瞒报事故，事故原因没有查清楚，群众没有受到教育等。</w:t>
      </w:r>
    </w:p>
    <w:p>
      <w:pPr>
        <w:tabs>
          <w:tab w:val="left" w:pos="945"/>
        </w:tabs>
        <w:autoSpaceDE w:val="0"/>
        <w:autoSpaceDN w:val="0"/>
        <w:adjustRightInd w:val="0"/>
        <w:spacing w:line="500" w:lineRule="exact"/>
        <w:ind w:firstLine="560" w:firstLineChars="200"/>
        <w:jc w:val="left"/>
        <w:rPr>
          <w:color w:val="000000" w:themeColor="text1"/>
          <w:sz w:val="28"/>
          <w:szCs w:val="28"/>
        </w:rPr>
      </w:pPr>
      <w:r>
        <w:rPr>
          <w:color w:val="000000" w:themeColor="text1"/>
          <w:sz w:val="28"/>
          <w:szCs w:val="28"/>
        </w:rPr>
        <w:t>11</w:t>
      </w:r>
      <w:r>
        <w:rPr>
          <w:rFonts w:hint="eastAsia"/>
          <w:color w:val="000000" w:themeColor="text1"/>
          <w:sz w:val="28"/>
          <w:szCs w:val="28"/>
        </w:rPr>
        <w:t>.</w:t>
      </w:r>
      <w:r>
        <w:rPr>
          <w:color w:val="000000" w:themeColor="text1"/>
          <w:sz w:val="28"/>
          <w:szCs w:val="28"/>
        </w:rPr>
        <w:t>应急救援失效，如对突发事故无预见性，事故发生后无法及时组织救援，事故应急救援不迅速，事故判断不准确，导致采取的应急救援行动和战术决策不准确，事故救援缺乏有效性，应急响应过程中公众恐慌心理增加救援难度等。</w:t>
      </w:r>
    </w:p>
    <w:p>
      <w:pPr>
        <w:pStyle w:val="19"/>
        <w:spacing w:afterLines="100" w:line="500" w:lineRule="exact"/>
        <w:rPr>
          <w:rFonts w:ascii="黑体" w:hAnsi="宋体" w:eastAsia="黑体"/>
          <w:color w:val="000000" w:themeColor="text1"/>
          <w:kern w:val="3"/>
          <w:sz w:val="28"/>
          <w:szCs w:val="28"/>
        </w:rPr>
      </w:pPr>
      <w:bookmarkStart w:id="1198" w:name="_Toc3692"/>
      <w:bookmarkStart w:id="1199" w:name="_Toc20007"/>
      <w:bookmarkStart w:id="1200" w:name="_Toc18872"/>
      <w:bookmarkStart w:id="1201" w:name="_Toc9128"/>
      <w:bookmarkStart w:id="1202" w:name="_Toc28431"/>
      <w:bookmarkStart w:id="1203" w:name="_Toc32378"/>
      <w:bookmarkStart w:id="1204" w:name="_Toc22497"/>
      <w:bookmarkStart w:id="1205" w:name="_Toc14976"/>
      <w:bookmarkStart w:id="1206" w:name="_Toc11961"/>
      <w:bookmarkStart w:id="1207" w:name="_Toc28996"/>
      <w:bookmarkStart w:id="1208" w:name="_Toc19378"/>
      <w:r>
        <w:rPr>
          <w:rFonts w:hint="eastAsia" w:ascii="黑体" w:hAnsi="宋体" w:eastAsia="黑体"/>
          <w:color w:val="000000" w:themeColor="text1"/>
          <w:kern w:val="3"/>
          <w:sz w:val="28"/>
          <w:szCs w:val="28"/>
        </w:rPr>
        <w:t>3.5.9主要危险、有害因素类别分析</w:t>
      </w:r>
      <w:bookmarkEnd w:id="1198"/>
      <w:bookmarkEnd w:id="1199"/>
      <w:bookmarkEnd w:id="1200"/>
      <w:bookmarkEnd w:id="1201"/>
      <w:bookmarkEnd w:id="1202"/>
      <w:bookmarkEnd w:id="1203"/>
      <w:bookmarkEnd w:id="1204"/>
      <w:bookmarkEnd w:id="1205"/>
      <w:bookmarkEnd w:id="1206"/>
      <w:bookmarkEnd w:id="1207"/>
      <w:bookmarkEnd w:id="1208"/>
    </w:p>
    <w:p>
      <w:pPr>
        <w:pStyle w:val="19"/>
        <w:spacing w:afterLines="100" w:line="500" w:lineRule="exact"/>
        <w:rPr>
          <w:rFonts w:ascii="黑体" w:hAnsi="宋体" w:eastAsia="黑体"/>
          <w:color w:val="000000" w:themeColor="text1"/>
          <w:kern w:val="3"/>
          <w:sz w:val="28"/>
          <w:szCs w:val="28"/>
        </w:rPr>
      </w:pPr>
      <w:bookmarkStart w:id="1209" w:name="_Toc21627905"/>
      <w:bookmarkStart w:id="1210" w:name="_Toc71710920"/>
      <w:bookmarkStart w:id="1211" w:name="_Toc18428"/>
      <w:bookmarkStart w:id="1212" w:name="_Toc7875"/>
      <w:bookmarkStart w:id="1213" w:name="_Toc21978391"/>
      <w:bookmarkStart w:id="1214" w:name="_Toc71558487"/>
      <w:bookmarkStart w:id="1215" w:name="_Toc26499"/>
      <w:bookmarkStart w:id="1216" w:name="_Toc31324"/>
      <w:r>
        <w:rPr>
          <w:rFonts w:hint="eastAsia" w:ascii="黑体" w:hAnsi="宋体" w:eastAsia="黑体"/>
          <w:color w:val="000000" w:themeColor="text1"/>
          <w:kern w:val="3"/>
          <w:sz w:val="28"/>
          <w:szCs w:val="28"/>
        </w:rPr>
        <w:t>3.5.9.1火灾、其他爆炸危险性分析</w:t>
      </w:r>
      <w:bookmarkEnd w:id="1209"/>
      <w:bookmarkEnd w:id="1210"/>
      <w:bookmarkEnd w:id="1211"/>
      <w:bookmarkEnd w:id="1212"/>
      <w:bookmarkEnd w:id="1213"/>
      <w:bookmarkEnd w:id="1214"/>
      <w:bookmarkEnd w:id="1215"/>
      <w:bookmarkEnd w:id="1216"/>
    </w:p>
    <w:p>
      <w:pPr>
        <w:spacing w:line="500" w:lineRule="exact"/>
        <w:ind w:firstLine="560" w:firstLineChars="200"/>
        <w:rPr>
          <w:bCs/>
          <w:color w:val="000000" w:themeColor="text1"/>
          <w:kern w:val="0"/>
          <w:sz w:val="28"/>
          <w:szCs w:val="28"/>
        </w:rPr>
      </w:pPr>
      <w:r>
        <w:rPr>
          <w:color w:val="000000" w:themeColor="text1"/>
          <w:kern w:val="0"/>
          <w:sz w:val="28"/>
          <w:szCs w:val="28"/>
        </w:rPr>
        <w:t>该项目甲醇为</w:t>
      </w:r>
      <w:r>
        <w:rPr>
          <w:bCs/>
          <w:color w:val="000000" w:themeColor="text1"/>
          <w:kern w:val="0"/>
          <w:sz w:val="28"/>
          <w:szCs w:val="28"/>
        </w:rPr>
        <w:t>易燃液体，其液体及蒸气易燃，受热或接触明火，有中等程度的火灾危险。因此，甲醇引起火灾的主要原因有以下方面：</w:t>
      </w:r>
    </w:p>
    <w:p>
      <w:pPr>
        <w:spacing w:line="500" w:lineRule="exact"/>
        <w:ind w:firstLine="560" w:firstLineChars="200"/>
        <w:rPr>
          <w:bCs/>
          <w:color w:val="000000" w:themeColor="text1"/>
          <w:kern w:val="0"/>
          <w:sz w:val="28"/>
          <w:szCs w:val="28"/>
        </w:rPr>
      </w:pPr>
      <w:r>
        <w:rPr>
          <w:bCs/>
          <w:color w:val="000000" w:themeColor="text1"/>
          <w:kern w:val="0"/>
          <w:sz w:val="28"/>
          <w:szCs w:val="28"/>
        </w:rPr>
        <w:t>1</w:t>
      </w:r>
      <w:r>
        <w:rPr>
          <w:rFonts w:hint="eastAsia"/>
          <w:bCs/>
          <w:color w:val="000000" w:themeColor="text1"/>
          <w:kern w:val="0"/>
          <w:sz w:val="28"/>
          <w:szCs w:val="28"/>
        </w:rPr>
        <w:t>.</w:t>
      </w:r>
      <w:r>
        <w:rPr>
          <w:bCs/>
          <w:color w:val="000000" w:themeColor="text1"/>
          <w:kern w:val="0"/>
          <w:sz w:val="28"/>
          <w:szCs w:val="28"/>
        </w:rPr>
        <w:t>由于甲醇储存、装卸设施、管线损坏、连接处密封不严、锈蚀穿孔或装卸作业人员违规操作而造成甲醇泄漏而遇点火源、</w:t>
      </w:r>
      <w:r>
        <w:rPr>
          <w:color w:val="000000" w:themeColor="text1"/>
          <w:kern w:val="0"/>
          <w:sz w:val="28"/>
          <w:szCs w:val="28"/>
        </w:rPr>
        <w:t>禁忌物</w:t>
      </w:r>
      <w:r>
        <w:rPr>
          <w:bCs/>
          <w:color w:val="000000" w:themeColor="text1"/>
          <w:kern w:val="0"/>
          <w:sz w:val="28"/>
          <w:szCs w:val="28"/>
        </w:rPr>
        <w:t>引发火灾、其他爆炸危险。</w:t>
      </w:r>
    </w:p>
    <w:p>
      <w:pPr>
        <w:spacing w:line="500" w:lineRule="exact"/>
        <w:ind w:firstLine="560" w:firstLineChars="200"/>
        <w:rPr>
          <w:color w:val="000000" w:themeColor="text1"/>
          <w:kern w:val="0"/>
          <w:sz w:val="28"/>
          <w:szCs w:val="28"/>
        </w:rPr>
      </w:pPr>
      <w:r>
        <w:rPr>
          <w:bCs/>
          <w:color w:val="000000" w:themeColor="text1"/>
          <w:kern w:val="0"/>
          <w:sz w:val="28"/>
          <w:szCs w:val="28"/>
        </w:rPr>
        <w:t>2</w:t>
      </w:r>
      <w:r>
        <w:rPr>
          <w:rFonts w:hint="eastAsia"/>
          <w:bCs/>
          <w:color w:val="000000" w:themeColor="text1"/>
          <w:kern w:val="0"/>
          <w:sz w:val="28"/>
          <w:szCs w:val="28"/>
        </w:rPr>
        <w:t>.</w:t>
      </w:r>
      <w:r>
        <w:rPr>
          <w:bCs/>
          <w:color w:val="000000" w:themeColor="text1"/>
          <w:kern w:val="0"/>
          <w:sz w:val="28"/>
          <w:szCs w:val="28"/>
        </w:rPr>
        <w:t>需在甲醇罐区、装卸区对其管线、设备进行检、维修时，如未执行相应动火作业票，违规使用明火引发火灾，或使用易产生火花的工具，或进入罐区及进行装卸</w:t>
      </w:r>
      <w:r>
        <w:rPr>
          <w:color w:val="000000" w:themeColor="text1"/>
          <w:kern w:val="0"/>
          <w:sz w:val="28"/>
          <w:szCs w:val="28"/>
        </w:rPr>
        <w:t>作业时，穿戴化纤服装而产生静电危害等而引起火灾、其他爆炸危险。</w:t>
      </w:r>
    </w:p>
    <w:p>
      <w:pPr>
        <w:spacing w:line="500" w:lineRule="exact"/>
        <w:ind w:firstLine="560" w:firstLineChars="200"/>
        <w:rPr>
          <w:color w:val="000000" w:themeColor="text1"/>
          <w:kern w:val="0"/>
          <w:sz w:val="28"/>
          <w:szCs w:val="28"/>
        </w:rPr>
      </w:pPr>
      <w:r>
        <w:rPr>
          <w:color w:val="000000" w:themeColor="text1"/>
          <w:kern w:val="0"/>
          <w:sz w:val="28"/>
          <w:szCs w:val="28"/>
        </w:rPr>
        <w:t>3</w:t>
      </w:r>
      <w:r>
        <w:rPr>
          <w:rFonts w:hint="eastAsia"/>
          <w:color w:val="000000" w:themeColor="text1"/>
          <w:kern w:val="0"/>
          <w:sz w:val="28"/>
          <w:szCs w:val="28"/>
        </w:rPr>
        <w:t>.</w:t>
      </w:r>
      <w:r>
        <w:rPr>
          <w:color w:val="000000" w:themeColor="text1"/>
          <w:kern w:val="0"/>
          <w:sz w:val="28"/>
          <w:szCs w:val="28"/>
        </w:rPr>
        <w:t>甲醇罐区、装卸区采取的防雷、防静电措施无效，未对防雷、防静电设施进行定期检测，或甲醇罐体、输送管道未设置防静电接地，管线法兰未采取防静电跨接等可能会由于雷电、静电危害而引发火灾、其他爆炸危险。</w:t>
      </w:r>
    </w:p>
    <w:p>
      <w:pPr>
        <w:pStyle w:val="19"/>
        <w:spacing w:afterLines="100" w:line="500" w:lineRule="exact"/>
        <w:rPr>
          <w:rFonts w:ascii="黑体" w:hAnsi="宋体" w:eastAsia="黑体"/>
          <w:color w:val="000000" w:themeColor="text1"/>
          <w:kern w:val="3"/>
          <w:sz w:val="28"/>
          <w:szCs w:val="28"/>
        </w:rPr>
      </w:pPr>
      <w:bookmarkStart w:id="1217" w:name="_Toc5013"/>
      <w:bookmarkStart w:id="1218" w:name="_Toc21627906"/>
      <w:bookmarkStart w:id="1219" w:name="_Toc21978392"/>
      <w:bookmarkStart w:id="1220" w:name="_Toc71710921"/>
      <w:bookmarkStart w:id="1221" w:name="_Toc9767"/>
      <w:bookmarkStart w:id="1222" w:name="_Toc30543"/>
      <w:bookmarkStart w:id="1223" w:name="_Toc16363"/>
      <w:bookmarkStart w:id="1224" w:name="_Toc71558488"/>
      <w:r>
        <w:rPr>
          <w:rFonts w:hint="eastAsia" w:ascii="黑体" w:hAnsi="宋体" w:eastAsia="黑体"/>
          <w:color w:val="000000" w:themeColor="text1"/>
          <w:kern w:val="3"/>
          <w:sz w:val="28"/>
          <w:szCs w:val="28"/>
        </w:rPr>
        <w:t>3.5.9.2中毒、窒息危险性分析</w:t>
      </w:r>
      <w:bookmarkEnd w:id="1217"/>
      <w:bookmarkEnd w:id="1218"/>
      <w:bookmarkEnd w:id="1219"/>
      <w:bookmarkEnd w:id="1220"/>
      <w:bookmarkEnd w:id="1221"/>
      <w:bookmarkEnd w:id="1222"/>
      <w:bookmarkEnd w:id="1223"/>
      <w:bookmarkEnd w:id="1224"/>
    </w:p>
    <w:p>
      <w:pPr>
        <w:spacing w:line="500" w:lineRule="exact"/>
        <w:ind w:firstLine="560" w:firstLineChars="200"/>
        <w:rPr>
          <w:color w:val="000000" w:themeColor="text1"/>
          <w:kern w:val="0"/>
          <w:sz w:val="28"/>
          <w:szCs w:val="28"/>
        </w:rPr>
      </w:pPr>
      <w:r>
        <w:rPr>
          <w:color w:val="000000" w:themeColor="text1"/>
          <w:kern w:val="0"/>
          <w:sz w:val="28"/>
          <w:szCs w:val="28"/>
        </w:rPr>
        <w:t>该项目甲</w:t>
      </w:r>
      <w:r>
        <w:rPr>
          <w:bCs/>
          <w:color w:val="000000" w:themeColor="text1"/>
          <w:kern w:val="0"/>
          <w:sz w:val="28"/>
          <w:szCs w:val="28"/>
        </w:rPr>
        <w:t>醇具有急性毒性，在装卸、储存过程中可直接或间接的引发中毒事故，</w:t>
      </w:r>
      <w:r>
        <w:rPr>
          <w:color w:val="000000" w:themeColor="text1"/>
          <w:kern w:val="0"/>
          <w:sz w:val="28"/>
          <w:szCs w:val="28"/>
        </w:rPr>
        <w:t>主要引发原因分析如下：</w:t>
      </w:r>
    </w:p>
    <w:p>
      <w:pPr>
        <w:spacing w:line="500" w:lineRule="exact"/>
        <w:ind w:firstLine="560" w:firstLineChars="200"/>
        <w:rPr>
          <w:color w:val="000000" w:themeColor="text1"/>
          <w:kern w:val="0"/>
          <w:sz w:val="28"/>
          <w:szCs w:val="28"/>
        </w:rPr>
      </w:pPr>
      <w:r>
        <w:rPr>
          <w:color w:val="000000" w:themeColor="text1"/>
          <w:kern w:val="0"/>
          <w:sz w:val="28"/>
          <w:szCs w:val="28"/>
        </w:rPr>
        <w:t>1</w:t>
      </w:r>
      <w:r>
        <w:rPr>
          <w:rFonts w:hint="eastAsia"/>
          <w:color w:val="000000" w:themeColor="text1"/>
          <w:kern w:val="0"/>
          <w:sz w:val="28"/>
          <w:szCs w:val="28"/>
        </w:rPr>
        <w:t>.</w:t>
      </w:r>
      <w:r>
        <w:rPr>
          <w:color w:val="000000" w:themeColor="text1"/>
          <w:kern w:val="0"/>
          <w:sz w:val="28"/>
          <w:szCs w:val="28"/>
        </w:rPr>
        <w:t>甲醇储存或装卸车过程中，</w:t>
      </w:r>
      <w:r>
        <w:rPr>
          <w:color w:val="000000" w:themeColor="text1"/>
          <w:sz w:val="28"/>
        </w:rPr>
        <w:t>违章操作等发生大量泄漏，会因装卸作业人员未佩戴劳动防护用品而发生</w:t>
      </w:r>
      <w:r>
        <w:rPr>
          <w:color w:val="000000" w:themeColor="text1"/>
          <w:kern w:val="0"/>
          <w:sz w:val="28"/>
          <w:szCs w:val="28"/>
        </w:rPr>
        <w:t>中毒、窒息事故。</w:t>
      </w:r>
    </w:p>
    <w:p>
      <w:pPr>
        <w:spacing w:line="500" w:lineRule="exact"/>
        <w:ind w:firstLine="560" w:firstLineChars="200"/>
        <w:rPr>
          <w:color w:val="000000" w:themeColor="text1"/>
          <w:kern w:val="0"/>
          <w:sz w:val="28"/>
          <w:szCs w:val="28"/>
        </w:rPr>
      </w:pPr>
      <w:r>
        <w:rPr>
          <w:color w:val="000000" w:themeColor="text1"/>
          <w:kern w:val="0"/>
          <w:sz w:val="28"/>
          <w:szCs w:val="28"/>
        </w:rPr>
        <w:t>2</w:t>
      </w:r>
      <w:r>
        <w:rPr>
          <w:rFonts w:hint="eastAsia"/>
          <w:color w:val="000000" w:themeColor="text1"/>
          <w:kern w:val="0"/>
          <w:sz w:val="28"/>
          <w:szCs w:val="28"/>
        </w:rPr>
        <w:t>.</w:t>
      </w:r>
      <w:r>
        <w:rPr>
          <w:color w:val="000000" w:themeColor="text1"/>
          <w:kern w:val="0"/>
          <w:sz w:val="28"/>
          <w:szCs w:val="28"/>
        </w:rPr>
        <w:t>甲醇储存罐区通风受阻，企业未为作业人员配备足够合理的劳动防护用品或应急物资，可能由于甲醇泄漏而引发中毒窒息事故。或现场应急处理人员未正确佩戴劳动防护用品直接接触等也可直接引发中毒事故。</w:t>
      </w:r>
    </w:p>
    <w:p>
      <w:pPr>
        <w:spacing w:line="500" w:lineRule="exact"/>
        <w:ind w:firstLine="560" w:firstLineChars="200"/>
        <w:rPr>
          <w:color w:val="000000" w:themeColor="text1"/>
          <w:kern w:val="0"/>
          <w:sz w:val="28"/>
          <w:szCs w:val="28"/>
        </w:rPr>
      </w:pPr>
      <w:r>
        <w:rPr>
          <w:color w:val="000000" w:themeColor="text1"/>
          <w:kern w:val="0"/>
          <w:sz w:val="28"/>
          <w:szCs w:val="28"/>
        </w:rPr>
        <w:t>3</w:t>
      </w:r>
      <w:r>
        <w:rPr>
          <w:rFonts w:hint="eastAsia"/>
          <w:color w:val="000000" w:themeColor="text1"/>
          <w:kern w:val="0"/>
          <w:sz w:val="28"/>
          <w:szCs w:val="28"/>
        </w:rPr>
        <w:t>.</w:t>
      </w:r>
      <w:r>
        <w:rPr>
          <w:color w:val="000000" w:themeColor="text1"/>
          <w:kern w:val="0"/>
          <w:sz w:val="28"/>
          <w:szCs w:val="28"/>
        </w:rPr>
        <w:t>其他引发中毒、窒息事故的原因，如在发生大量甲醇泄漏时会由于应急处理人员直接接触后而得不到及时清理而引发中毒危险。</w:t>
      </w:r>
    </w:p>
    <w:p>
      <w:pPr>
        <w:pStyle w:val="19"/>
        <w:spacing w:afterLines="100" w:line="500" w:lineRule="exact"/>
        <w:rPr>
          <w:rFonts w:ascii="黑体" w:hAnsi="宋体" w:eastAsia="黑体"/>
          <w:color w:val="000000" w:themeColor="text1"/>
          <w:kern w:val="3"/>
          <w:sz w:val="28"/>
          <w:szCs w:val="28"/>
        </w:rPr>
      </w:pPr>
      <w:bookmarkStart w:id="1225" w:name="_Toc29352"/>
      <w:bookmarkStart w:id="1226" w:name="_Toc25102"/>
      <w:bookmarkStart w:id="1227" w:name="_Toc3363"/>
      <w:bookmarkStart w:id="1228" w:name="_Toc6835"/>
      <w:bookmarkStart w:id="1229" w:name="_Toc71558489"/>
      <w:bookmarkStart w:id="1230" w:name="_Toc71710922"/>
      <w:bookmarkStart w:id="1231" w:name="_Toc21627907"/>
      <w:bookmarkStart w:id="1232" w:name="_Toc21978393"/>
      <w:r>
        <w:rPr>
          <w:rFonts w:hint="eastAsia" w:ascii="黑体" w:hAnsi="宋体" w:eastAsia="黑体"/>
          <w:color w:val="000000" w:themeColor="text1"/>
          <w:kern w:val="3"/>
          <w:sz w:val="28"/>
          <w:szCs w:val="28"/>
        </w:rPr>
        <w:t>3.5.9.3雷电及静电危害危险性分析</w:t>
      </w:r>
      <w:bookmarkEnd w:id="1225"/>
      <w:bookmarkEnd w:id="1226"/>
      <w:bookmarkEnd w:id="1227"/>
      <w:bookmarkEnd w:id="1228"/>
      <w:bookmarkEnd w:id="1229"/>
      <w:bookmarkEnd w:id="1230"/>
      <w:bookmarkEnd w:id="1231"/>
      <w:bookmarkEnd w:id="1232"/>
    </w:p>
    <w:p>
      <w:pPr>
        <w:adjustRightInd w:val="0"/>
        <w:snapToGrid w:val="0"/>
        <w:spacing w:line="500" w:lineRule="exact"/>
        <w:ind w:firstLine="560" w:firstLineChars="200"/>
        <w:rPr>
          <w:snapToGrid w:val="0"/>
          <w:color w:val="000000" w:themeColor="text1"/>
          <w:kern w:val="0"/>
          <w:sz w:val="28"/>
          <w:szCs w:val="21"/>
        </w:rPr>
      </w:pPr>
      <w:r>
        <w:rPr>
          <w:snapToGrid w:val="0"/>
          <w:color w:val="000000" w:themeColor="text1"/>
          <w:kern w:val="0"/>
          <w:sz w:val="28"/>
          <w:szCs w:val="21"/>
        </w:rPr>
        <w:t>该项目发生雷电及静电危害时主要会引发火灾、其他爆炸、触电等危险，造成人员伤亡、建（构）筑物毁坏。</w:t>
      </w:r>
    </w:p>
    <w:p>
      <w:pPr>
        <w:adjustRightInd w:val="0"/>
        <w:snapToGrid w:val="0"/>
        <w:spacing w:line="500" w:lineRule="exact"/>
        <w:ind w:firstLine="562" w:firstLineChars="200"/>
        <w:rPr>
          <w:b/>
          <w:snapToGrid w:val="0"/>
          <w:color w:val="000000" w:themeColor="text1"/>
          <w:kern w:val="0"/>
          <w:sz w:val="28"/>
          <w:szCs w:val="21"/>
        </w:rPr>
      </w:pPr>
      <w:bookmarkStart w:id="1233" w:name="_Toc17227"/>
      <w:r>
        <w:rPr>
          <w:b/>
          <w:snapToGrid w:val="0"/>
          <w:color w:val="000000" w:themeColor="text1"/>
          <w:kern w:val="0"/>
          <w:sz w:val="28"/>
          <w:szCs w:val="21"/>
        </w:rPr>
        <w:t>1</w:t>
      </w:r>
      <w:r>
        <w:rPr>
          <w:rFonts w:hint="eastAsia"/>
          <w:b/>
          <w:snapToGrid w:val="0"/>
          <w:color w:val="000000" w:themeColor="text1"/>
          <w:kern w:val="0"/>
          <w:sz w:val="28"/>
          <w:szCs w:val="21"/>
        </w:rPr>
        <w:t>.</w:t>
      </w:r>
      <w:r>
        <w:rPr>
          <w:b/>
          <w:snapToGrid w:val="0"/>
          <w:color w:val="000000" w:themeColor="text1"/>
          <w:kern w:val="0"/>
          <w:sz w:val="28"/>
          <w:szCs w:val="21"/>
        </w:rPr>
        <w:t>雷电危害危险性分析</w:t>
      </w:r>
      <w:bookmarkEnd w:id="1233"/>
    </w:p>
    <w:p>
      <w:pPr>
        <w:adjustRightInd w:val="0"/>
        <w:snapToGrid w:val="0"/>
        <w:spacing w:line="500" w:lineRule="exact"/>
        <w:ind w:firstLine="560" w:firstLineChars="200"/>
        <w:rPr>
          <w:color w:val="000000" w:themeColor="text1"/>
          <w:sz w:val="28"/>
          <w:szCs w:val="28"/>
        </w:rPr>
      </w:pPr>
      <w:r>
        <w:rPr>
          <w:color w:val="000000" w:themeColor="text1"/>
          <w:sz w:val="28"/>
          <w:szCs w:val="28"/>
        </w:rPr>
        <w:t>1）火灾与爆炸，如直击雷放电、二次放电、球形雷侵入，雷电流转化的高温等，可能引起火灾与爆炸；</w:t>
      </w:r>
    </w:p>
    <w:p>
      <w:pPr>
        <w:adjustRightInd w:val="0"/>
        <w:snapToGrid w:val="0"/>
        <w:spacing w:line="500" w:lineRule="exact"/>
        <w:ind w:firstLine="560" w:firstLineChars="200"/>
        <w:rPr>
          <w:color w:val="000000" w:themeColor="text1"/>
          <w:sz w:val="28"/>
          <w:szCs w:val="28"/>
        </w:rPr>
      </w:pPr>
      <w:r>
        <w:rPr>
          <w:color w:val="000000" w:themeColor="text1"/>
          <w:sz w:val="28"/>
          <w:szCs w:val="28"/>
        </w:rPr>
        <w:t>2）电击，如直击雷、二次放电、球雷打击、跨步电压以及绝缘体被击穿，均可使人遭到电击。</w:t>
      </w:r>
    </w:p>
    <w:p>
      <w:pPr>
        <w:adjustRightInd w:val="0"/>
        <w:snapToGrid w:val="0"/>
        <w:spacing w:line="500" w:lineRule="exact"/>
        <w:ind w:firstLine="562" w:firstLineChars="200"/>
        <w:rPr>
          <w:b/>
          <w:color w:val="000000" w:themeColor="text1"/>
          <w:sz w:val="28"/>
          <w:szCs w:val="28"/>
        </w:rPr>
      </w:pPr>
      <w:bookmarkStart w:id="1234" w:name="_Toc28354"/>
      <w:r>
        <w:rPr>
          <w:b/>
          <w:color w:val="000000" w:themeColor="text1"/>
          <w:sz w:val="28"/>
          <w:szCs w:val="28"/>
        </w:rPr>
        <w:t>2</w:t>
      </w:r>
      <w:r>
        <w:rPr>
          <w:rFonts w:hint="eastAsia"/>
          <w:b/>
          <w:color w:val="000000" w:themeColor="text1"/>
          <w:sz w:val="28"/>
          <w:szCs w:val="28"/>
        </w:rPr>
        <w:t>.</w:t>
      </w:r>
      <w:r>
        <w:rPr>
          <w:b/>
          <w:color w:val="000000" w:themeColor="text1"/>
          <w:sz w:val="28"/>
          <w:szCs w:val="28"/>
        </w:rPr>
        <w:t>静电危害危险性分析</w:t>
      </w:r>
      <w:bookmarkEnd w:id="1234"/>
    </w:p>
    <w:p>
      <w:pPr>
        <w:adjustRightInd w:val="0"/>
        <w:snapToGrid w:val="0"/>
        <w:spacing w:line="500" w:lineRule="exact"/>
        <w:ind w:firstLine="560" w:firstLineChars="200"/>
        <w:rPr>
          <w:color w:val="000000" w:themeColor="text1"/>
          <w:sz w:val="28"/>
          <w:szCs w:val="28"/>
        </w:rPr>
      </w:pPr>
      <w:r>
        <w:rPr>
          <w:color w:val="000000" w:themeColor="text1"/>
          <w:sz w:val="28"/>
          <w:szCs w:val="28"/>
        </w:rPr>
        <w:t>甲醇属于易燃液体，在其储存、装卸过程中可能会由于以下原因而遭受静电而引发火灾、其他爆炸危险：</w:t>
      </w:r>
    </w:p>
    <w:p>
      <w:pPr>
        <w:adjustRightInd w:val="0"/>
        <w:snapToGrid w:val="0"/>
        <w:spacing w:line="500" w:lineRule="exact"/>
        <w:ind w:firstLine="560" w:firstLineChars="200"/>
        <w:rPr>
          <w:color w:val="000000" w:themeColor="text1"/>
          <w:sz w:val="28"/>
          <w:szCs w:val="28"/>
        </w:rPr>
      </w:pPr>
      <w:r>
        <w:rPr>
          <w:color w:val="000000" w:themeColor="text1"/>
          <w:sz w:val="28"/>
          <w:szCs w:val="28"/>
        </w:rPr>
        <w:t>1）甲醇储罐区或装卸过程人员穿化纤服装，活动时易产生静电火花，穿带铁钉鞋走动时易打火。</w:t>
      </w:r>
    </w:p>
    <w:p>
      <w:pPr>
        <w:adjustRightInd w:val="0"/>
        <w:snapToGrid w:val="0"/>
        <w:spacing w:line="500" w:lineRule="exact"/>
        <w:ind w:firstLine="560" w:firstLineChars="200"/>
        <w:rPr>
          <w:color w:val="000000" w:themeColor="text1"/>
          <w:sz w:val="28"/>
          <w:szCs w:val="28"/>
        </w:rPr>
      </w:pPr>
      <w:r>
        <w:rPr>
          <w:color w:val="000000" w:themeColor="text1"/>
          <w:sz w:val="28"/>
          <w:szCs w:val="28"/>
        </w:rPr>
        <w:t>2）在甲醇罐区、装卸区域内作业时使用非防爆工器具产生火花，违规使用明火等。</w:t>
      </w:r>
    </w:p>
    <w:p>
      <w:pPr>
        <w:adjustRightInd w:val="0"/>
        <w:snapToGrid w:val="0"/>
        <w:spacing w:line="500" w:lineRule="exact"/>
        <w:ind w:firstLine="560" w:firstLineChars="200"/>
        <w:rPr>
          <w:color w:val="000000" w:themeColor="text1"/>
          <w:sz w:val="28"/>
          <w:szCs w:val="28"/>
        </w:rPr>
      </w:pPr>
      <w:r>
        <w:rPr>
          <w:color w:val="000000" w:themeColor="text1"/>
          <w:sz w:val="28"/>
          <w:szCs w:val="28"/>
        </w:rPr>
        <w:t>3）运输甲醇的机动车辆未戴阻火器等。</w:t>
      </w:r>
    </w:p>
    <w:p>
      <w:pPr>
        <w:pStyle w:val="19"/>
        <w:spacing w:afterLines="100" w:line="500" w:lineRule="exact"/>
        <w:rPr>
          <w:rFonts w:ascii="黑体" w:hAnsi="宋体" w:eastAsia="黑体"/>
          <w:color w:val="000000" w:themeColor="text1"/>
          <w:kern w:val="3"/>
          <w:sz w:val="28"/>
          <w:szCs w:val="28"/>
        </w:rPr>
      </w:pPr>
      <w:bookmarkStart w:id="1235" w:name="_Toc30593"/>
      <w:bookmarkStart w:id="1236" w:name="_Toc30977"/>
      <w:bookmarkStart w:id="1237" w:name="_Toc16589"/>
      <w:bookmarkStart w:id="1238" w:name="_Toc21627908"/>
      <w:bookmarkStart w:id="1239" w:name="_Toc13466"/>
      <w:bookmarkStart w:id="1240" w:name="_Toc21978394"/>
      <w:bookmarkStart w:id="1241" w:name="_Toc71710923"/>
      <w:bookmarkStart w:id="1242" w:name="_Toc71558490"/>
      <w:r>
        <w:rPr>
          <w:rFonts w:hint="eastAsia" w:ascii="黑体" w:hAnsi="宋体" w:eastAsia="黑体"/>
          <w:color w:val="000000" w:themeColor="text1"/>
          <w:kern w:val="3"/>
          <w:sz w:val="28"/>
          <w:szCs w:val="28"/>
        </w:rPr>
        <w:t>3.5.9.4触电危险性分析</w:t>
      </w:r>
      <w:bookmarkEnd w:id="1235"/>
      <w:bookmarkEnd w:id="1236"/>
      <w:bookmarkEnd w:id="1237"/>
      <w:bookmarkEnd w:id="1238"/>
      <w:bookmarkEnd w:id="1239"/>
      <w:bookmarkEnd w:id="1240"/>
      <w:bookmarkEnd w:id="1241"/>
      <w:bookmarkEnd w:id="1242"/>
    </w:p>
    <w:p>
      <w:pPr>
        <w:adjustRightInd w:val="0"/>
        <w:snapToGrid w:val="0"/>
        <w:spacing w:line="500" w:lineRule="exact"/>
        <w:ind w:firstLine="560" w:firstLineChars="200"/>
        <w:rPr>
          <w:color w:val="000000" w:themeColor="text1"/>
          <w:sz w:val="28"/>
          <w:szCs w:val="28"/>
        </w:rPr>
      </w:pPr>
      <w:r>
        <w:rPr>
          <w:color w:val="000000" w:themeColor="text1"/>
          <w:sz w:val="28"/>
          <w:szCs w:val="28"/>
        </w:rPr>
        <w:t>该项目辅助用房、罐区等处电气线路、照明灯等电气设备存在直接触电电击（正常状态下电击）和间接接触电击（故障状态下的电击）的危险，引发事故的主要原因如下：</w:t>
      </w:r>
    </w:p>
    <w:p>
      <w:pPr>
        <w:adjustRightInd w:val="0"/>
        <w:snapToGrid w:val="0"/>
        <w:spacing w:line="500" w:lineRule="exact"/>
        <w:ind w:firstLine="560" w:firstLineChars="200"/>
        <w:rPr>
          <w:color w:val="000000" w:themeColor="text1"/>
          <w:sz w:val="28"/>
          <w:szCs w:val="28"/>
        </w:rPr>
      </w:pPr>
      <w:r>
        <w:rPr>
          <w:color w:val="000000" w:themeColor="text1"/>
          <w:sz w:val="28"/>
          <w:szCs w:val="28"/>
        </w:rPr>
        <w:t>1</w:t>
      </w:r>
      <w:r>
        <w:rPr>
          <w:rFonts w:hint="eastAsia"/>
          <w:color w:val="000000" w:themeColor="text1"/>
          <w:sz w:val="28"/>
          <w:szCs w:val="28"/>
        </w:rPr>
        <w:t>.</w:t>
      </w:r>
      <w:r>
        <w:rPr>
          <w:color w:val="000000" w:themeColor="text1"/>
          <w:sz w:val="28"/>
          <w:szCs w:val="28"/>
        </w:rPr>
        <w:t>电气设备及线路的日常管理、维护不当，电气设备、线路老化、绝缘破损、漏电且无接地接零保护或安全屏蔽保护。</w:t>
      </w:r>
    </w:p>
    <w:p>
      <w:pPr>
        <w:adjustRightInd w:val="0"/>
        <w:snapToGrid w:val="0"/>
        <w:spacing w:line="500" w:lineRule="exact"/>
        <w:ind w:firstLine="560" w:firstLineChars="200"/>
        <w:rPr>
          <w:color w:val="000000" w:themeColor="text1"/>
          <w:sz w:val="28"/>
          <w:szCs w:val="28"/>
        </w:rPr>
      </w:pPr>
      <w:r>
        <w:rPr>
          <w:color w:val="000000" w:themeColor="text1"/>
          <w:sz w:val="28"/>
          <w:szCs w:val="28"/>
        </w:rPr>
        <w:t>2</w:t>
      </w:r>
      <w:r>
        <w:rPr>
          <w:rFonts w:hint="eastAsia"/>
          <w:color w:val="000000" w:themeColor="text1"/>
          <w:sz w:val="28"/>
          <w:szCs w:val="28"/>
        </w:rPr>
        <w:t>.</w:t>
      </w:r>
      <w:r>
        <w:rPr>
          <w:color w:val="000000" w:themeColor="text1"/>
          <w:sz w:val="28"/>
          <w:szCs w:val="28"/>
        </w:rPr>
        <w:t>电气设备的金属外壳未接地，或厂内用电设备操作人员未取得电工资质，用电设备操作人员未穿绝缘鞋，无绝缘垫，无人监护等。</w:t>
      </w:r>
    </w:p>
    <w:p>
      <w:pPr>
        <w:adjustRightInd w:val="0"/>
        <w:snapToGrid w:val="0"/>
        <w:spacing w:line="500" w:lineRule="exact"/>
        <w:ind w:firstLine="560" w:firstLineChars="200"/>
        <w:rPr>
          <w:color w:val="000000" w:themeColor="text1"/>
          <w:sz w:val="28"/>
          <w:szCs w:val="28"/>
        </w:rPr>
      </w:pPr>
      <w:r>
        <w:rPr>
          <w:color w:val="000000" w:themeColor="text1"/>
          <w:sz w:val="28"/>
          <w:szCs w:val="28"/>
        </w:rPr>
        <w:t>3</w:t>
      </w:r>
      <w:r>
        <w:rPr>
          <w:rFonts w:hint="eastAsia"/>
          <w:color w:val="000000" w:themeColor="text1"/>
          <w:sz w:val="28"/>
          <w:szCs w:val="28"/>
        </w:rPr>
        <w:t>.</w:t>
      </w:r>
      <w:r>
        <w:rPr>
          <w:color w:val="000000" w:themeColor="text1"/>
          <w:sz w:val="28"/>
          <w:szCs w:val="28"/>
        </w:rPr>
        <w:t>电器开关损坏、漏电，现场人员无意碰触等。</w:t>
      </w:r>
    </w:p>
    <w:p>
      <w:pPr>
        <w:adjustRightInd w:val="0"/>
        <w:snapToGrid w:val="0"/>
        <w:spacing w:line="500" w:lineRule="exact"/>
        <w:ind w:firstLine="560" w:firstLineChars="200"/>
        <w:rPr>
          <w:color w:val="000000" w:themeColor="text1"/>
          <w:sz w:val="28"/>
          <w:szCs w:val="28"/>
        </w:rPr>
      </w:pPr>
      <w:r>
        <w:rPr>
          <w:color w:val="000000" w:themeColor="text1"/>
          <w:sz w:val="28"/>
          <w:szCs w:val="28"/>
        </w:rPr>
        <w:t>4</w:t>
      </w:r>
      <w:r>
        <w:rPr>
          <w:rFonts w:hint="eastAsia"/>
          <w:color w:val="000000" w:themeColor="text1"/>
          <w:sz w:val="28"/>
          <w:szCs w:val="28"/>
        </w:rPr>
        <w:t>.</w:t>
      </w:r>
      <w:r>
        <w:rPr>
          <w:color w:val="000000" w:themeColor="text1"/>
          <w:sz w:val="28"/>
          <w:szCs w:val="28"/>
        </w:rPr>
        <w:t>作业人员缺乏用电常识，条件不允许而带电作业或检、维修中误合电闸送电。</w:t>
      </w:r>
    </w:p>
    <w:p>
      <w:pPr>
        <w:adjustRightInd w:val="0"/>
        <w:snapToGrid w:val="0"/>
        <w:spacing w:line="500" w:lineRule="exact"/>
        <w:ind w:firstLine="560" w:firstLineChars="200"/>
        <w:rPr>
          <w:color w:val="000000" w:themeColor="text1"/>
          <w:sz w:val="28"/>
          <w:szCs w:val="28"/>
        </w:rPr>
      </w:pPr>
      <w:r>
        <w:rPr>
          <w:color w:val="000000" w:themeColor="text1"/>
          <w:sz w:val="28"/>
          <w:szCs w:val="28"/>
        </w:rPr>
        <w:t>5</w:t>
      </w:r>
      <w:r>
        <w:rPr>
          <w:rFonts w:hint="eastAsia"/>
          <w:color w:val="000000" w:themeColor="text1"/>
          <w:sz w:val="28"/>
          <w:szCs w:val="28"/>
        </w:rPr>
        <w:t>.</w:t>
      </w:r>
      <w:r>
        <w:rPr>
          <w:color w:val="000000" w:themeColor="text1"/>
          <w:sz w:val="28"/>
          <w:szCs w:val="28"/>
        </w:rPr>
        <w:t>未严格执行工作票制度，违章作业，操作失误等。</w:t>
      </w:r>
    </w:p>
    <w:p>
      <w:pPr>
        <w:adjustRightInd w:val="0"/>
        <w:snapToGrid w:val="0"/>
        <w:spacing w:line="500" w:lineRule="exact"/>
        <w:ind w:firstLine="560" w:firstLineChars="200"/>
        <w:rPr>
          <w:color w:val="000000" w:themeColor="text1"/>
          <w:sz w:val="28"/>
          <w:szCs w:val="28"/>
        </w:rPr>
      </w:pPr>
      <w:r>
        <w:rPr>
          <w:color w:val="000000" w:themeColor="text1"/>
          <w:sz w:val="28"/>
          <w:szCs w:val="28"/>
        </w:rPr>
        <w:t>6</w:t>
      </w:r>
      <w:r>
        <w:rPr>
          <w:rFonts w:hint="eastAsia"/>
          <w:color w:val="000000" w:themeColor="text1"/>
          <w:sz w:val="28"/>
          <w:szCs w:val="28"/>
        </w:rPr>
        <w:t>.</w:t>
      </w:r>
      <w:r>
        <w:rPr>
          <w:color w:val="000000" w:themeColor="text1"/>
          <w:sz w:val="28"/>
          <w:szCs w:val="28"/>
        </w:rPr>
        <w:t>人员自我保护意识差，雷雨天气遭遇雷击。</w:t>
      </w:r>
    </w:p>
    <w:p>
      <w:pPr>
        <w:pStyle w:val="19"/>
        <w:spacing w:afterLines="100" w:line="500" w:lineRule="exact"/>
        <w:rPr>
          <w:rFonts w:ascii="黑体" w:hAnsi="宋体" w:eastAsia="黑体"/>
          <w:color w:val="000000" w:themeColor="text1"/>
          <w:kern w:val="3"/>
          <w:sz w:val="28"/>
          <w:szCs w:val="28"/>
        </w:rPr>
      </w:pPr>
      <w:bookmarkStart w:id="1243" w:name="_Toc23935"/>
      <w:bookmarkStart w:id="1244" w:name="_Toc21978395"/>
      <w:bookmarkStart w:id="1245" w:name="_Toc71710924"/>
      <w:bookmarkStart w:id="1246" w:name="_Toc6527"/>
      <w:bookmarkStart w:id="1247" w:name="_Toc32533"/>
      <w:bookmarkStart w:id="1248" w:name="_Toc16722"/>
      <w:bookmarkStart w:id="1249" w:name="_Toc71558491"/>
      <w:bookmarkStart w:id="1250" w:name="_Toc21627909"/>
      <w:r>
        <w:rPr>
          <w:rFonts w:hint="eastAsia" w:ascii="黑体" w:hAnsi="宋体" w:eastAsia="黑体"/>
          <w:color w:val="000000" w:themeColor="text1"/>
          <w:kern w:val="3"/>
          <w:sz w:val="28"/>
          <w:szCs w:val="28"/>
        </w:rPr>
        <w:t>3.5.9.5车辆伤害危险性分析</w:t>
      </w:r>
      <w:bookmarkEnd w:id="1243"/>
      <w:bookmarkEnd w:id="1244"/>
      <w:bookmarkEnd w:id="1245"/>
      <w:bookmarkEnd w:id="1246"/>
      <w:bookmarkEnd w:id="1247"/>
      <w:bookmarkEnd w:id="1248"/>
      <w:bookmarkEnd w:id="1249"/>
      <w:bookmarkEnd w:id="1250"/>
    </w:p>
    <w:p>
      <w:pPr>
        <w:adjustRightInd w:val="0"/>
        <w:snapToGrid w:val="0"/>
        <w:spacing w:line="500" w:lineRule="exact"/>
        <w:ind w:firstLine="560" w:firstLineChars="200"/>
        <w:rPr>
          <w:color w:val="000000" w:themeColor="text1"/>
          <w:sz w:val="28"/>
          <w:szCs w:val="28"/>
        </w:rPr>
      </w:pPr>
      <w:r>
        <w:rPr>
          <w:color w:val="000000" w:themeColor="text1"/>
          <w:sz w:val="28"/>
          <w:szCs w:val="28"/>
        </w:rPr>
        <w:t>外购甲醇及外售甲醇时均采用汽车运输，</w:t>
      </w:r>
      <w:r>
        <w:rPr>
          <w:snapToGrid w:val="0"/>
          <w:color w:val="000000" w:themeColor="text1"/>
          <w:kern w:val="0"/>
          <w:sz w:val="28"/>
          <w:szCs w:val="28"/>
        </w:rPr>
        <w:t>在装卸过程中可能会</w:t>
      </w:r>
      <w:r>
        <w:rPr>
          <w:color w:val="000000" w:themeColor="text1"/>
          <w:sz w:val="28"/>
          <w:szCs w:val="28"/>
        </w:rPr>
        <w:t>发生车辆伤害，其主要引发原因分析如下：</w:t>
      </w:r>
    </w:p>
    <w:p>
      <w:pPr>
        <w:adjustRightInd w:val="0"/>
        <w:snapToGrid w:val="0"/>
        <w:spacing w:line="500" w:lineRule="exact"/>
        <w:ind w:firstLine="560" w:firstLineChars="200"/>
        <w:rPr>
          <w:rFonts w:eastAsiaTheme="minorEastAsia"/>
          <w:snapToGrid w:val="0"/>
          <w:color w:val="000000" w:themeColor="text1"/>
          <w:kern w:val="0"/>
          <w:sz w:val="28"/>
        </w:rPr>
      </w:pPr>
      <w:r>
        <w:rPr>
          <w:rFonts w:eastAsiaTheme="minorEastAsia"/>
          <w:color w:val="000000" w:themeColor="text1"/>
          <w:sz w:val="28"/>
          <w:szCs w:val="28"/>
        </w:rPr>
        <w:t>1</w:t>
      </w:r>
      <w:r>
        <w:rPr>
          <w:rFonts w:hint="eastAsia" w:eastAsiaTheme="minorEastAsia"/>
          <w:color w:val="000000" w:themeColor="text1"/>
          <w:sz w:val="28"/>
          <w:szCs w:val="28"/>
        </w:rPr>
        <w:t>.</w:t>
      </w:r>
      <w:r>
        <w:rPr>
          <w:rFonts w:eastAsiaTheme="minorEastAsia"/>
          <w:color w:val="000000" w:themeColor="text1"/>
          <w:kern w:val="0"/>
          <w:sz w:val="28"/>
          <w:szCs w:val="28"/>
        </w:rPr>
        <w:t>运输车辆未取得危险化学品运输资质，驾驶员未取得驾驶证，疲劳驾驶或驾驶技术差，超载和超速行驶。</w:t>
      </w:r>
    </w:p>
    <w:p>
      <w:pPr>
        <w:adjustRightInd w:val="0"/>
        <w:snapToGrid w:val="0"/>
        <w:spacing w:line="500" w:lineRule="exact"/>
        <w:ind w:firstLine="560" w:firstLineChars="200"/>
        <w:rPr>
          <w:rFonts w:eastAsiaTheme="minorEastAsia"/>
          <w:snapToGrid w:val="0"/>
          <w:color w:val="000000" w:themeColor="text1"/>
          <w:kern w:val="0"/>
          <w:sz w:val="28"/>
        </w:rPr>
      </w:pPr>
      <w:r>
        <w:rPr>
          <w:rFonts w:eastAsiaTheme="minorEastAsia"/>
          <w:snapToGrid w:val="0"/>
          <w:color w:val="000000" w:themeColor="text1"/>
          <w:kern w:val="0"/>
          <w:sz w:val="28"/>
        </w:rPr>
        <w:t>2</w:t>
      </w:r>
      <w:r>
        <w:rPr>
          <w:rFonts w:hint="eastAsia" w:eastAsiaTheme="minorEastAsia"/>
          <w:snapToGrid w:val="0"/>
          <w:color w:val="000000" w:themeColor="text1"/>
          <w:kern w:val="0"/>
          <w:sz w:val="28"/>
        </w:rPr>
        <w:t>.</w:t>
      </w:r>
      <w:r>
        <w:rPr>
          <w:rFonts w:eastAsiaTheme="minorEastAsia"/>
          <w:snapToGrid w:val="0"/>
          <w:color w:val="000000" w:themeColor="text1"/>
          <w:kern w:val="0"/>
          <w:sz w:val="28"/>
        </w:rPr>
        <w:t>未在平整场地进行卸车，或装卸甲醇时，对应车辆不按规定位置停靠，装卸车过程未设置有效车档等。</w:t>
      </w:r>
    </w:p>
    <w:p>
      <w:pPr>
        <w:adjustRightInd w:val="0"/>
        <w:snapToGrid w:val="0"/>
        <w:spacing w:line="500" w:lineRule="exact"/>
        <w:ind w:firstLine="560" w:firstLineChars="200"/>
        <w:rPr>
          <w:rFonts w:eastAsiaTheme="minorEastAsia"/>
          <w:color w:val="000000" w:themeColor="text1"/>
          <w:sz w:val="28"/>
          <w:szCs w:val="28"/>
        </w:rPr>
      </w:pPr>
      <w:r>
        <w:rPr>
          <w:rFonts w:eastAsiaTheme="minorEastAsia"/>
          <w:snapToGrid w:val="0"/>
          <w:color w:val="000000" w:themeColor="text1"/>
          <w:kern w:val="0"/>
          <w:sz w:val="28"/>
        </w:rPr>
        <w:t>3</w:t>
      </w:r>
      <w:r>
        <w:rPr>
          <w:rFonts w:hint="eastAsia" w:eastAsiaTheme="minorEastAsia"/>
          <w:snapToGrid w:val="0"/>
          <w:color w:val="000000" w:themeColor="text1"/>
          <w:kern w:val="0"/>
          <w:sz w:val="28"/>
        </w:rPr>
        <w:t>.</w:t>
      </w:r>
      <w:r>
        <w:rPr>
          <w:rFonts w:eastAsiaTheme="minorEastAsia"/>
          <w:snapToGrid w:val="0"/>
          <w:color w:val="000000" w:themeColor="text1"/>
          <w:kern w:val="0"/>
          <w:sz w:val="28"/>
        </w:rPr>
        <w:t>其他引发事故的原因，如</w:t>
      </w:r>
      <w:r>
        <w:rPr>
          <w:rFonts w:eastAsiaTheme="minorEastAsia"/>
          <w:color w:val="000000" w:themeColor="text1"/>
          <w:kern w:val="0"/>
          <w:sz w:val="28"/>
          <w:szCs w:val="28"/>
        </w:rPr>
        <w:t>使用带有安全隐患的车辆带病运行或</w:t>
      </w:r>
      <w:r>
        <w:rPr>
          <w:rFonts w:eastAsiaTheme="minorEastAsia"/>
          <w:color w:val="000000" w:themeColor="text1"/>
          <w:sz w:val="28"/>
          <w:szCs w:val="28"/>
        </w:rPr>
        <w:t>装卸人员未按操作规程进行作业等。</w:t>
      </w:r>
    </w:p>
    <w:p>
      <w:pPr>
        <w:pStyle w:val="19"/>
        <w:spacing w:afterLines="100" w:line="500" w:lineRule="exact"/>
        <w:rPr>
          <w:rFonts w:ascii="黑体" w:hAnsi="宋体" w:eastAsia="黑体"/>
          <w:color w:val="000000" w:themeColor="text1"/>
          <w:kern w:val="3"/>
          <w:sz w:val="28"/>
          <w:szCs w:val="28"/>
        </w:rPr>
      </w:pPr>
      <w:bookmarkStart w:id="1251" w:name="_Toc21978396"/>
      <w:bookmarkStart w:id="1252" w:name="_Toc71710925"/>
      <w:bookmarkStart w:id="1253" w:name="_Toc71558492"/>
      <w:bookmarkStart w:id="1254" w:name="_Toc23187"/>
      <w:bookmarkStart w:id="1255" w:name="_Toc20964"/>
      <w:bookmarkStart w:id="1256" w:name="_Toc11539"/>
      <w:bookmarkStart w:id="1257" w:name="_Toc10931"/>
      <w:r>
        <w:rPr>
          <w:rFonts w:hint="eastAsia" w:ascii="黑体" w:hAnsi="宋体" w:eastAsia="黑体"/>
          <w:color w:val="000000" w:themeColor="text1"/>
          <w:kern w:val="3"/>
          <w:sz w:val="28"/>
          <w:szCs w:val="28"/>
        </w:rPr>
        <w:t xml:space="preserve">3.5.9.6 </w:t>
      </w:r>
      <w:bookmarkEnd w:id="1251"/>
      <w:bookmarkEnd w:id="1252"/>
      <w:bookmarkEnd w:id="1253"/>
      <w:bookmarkStart w:id="1258" w:name="_Toc71558493"/>
      <w:bookmarkStart w:id="1259" w:name="_Toc71710926"/>
      <w:r>
        <w:rPr>
          <w:rFonts w:hint="eastAsia" w:ascii="黑体" w:hAnsi="宋体" w:eastAsia="黑体"/>
          <w:color w:val="000000" w:themeColor="text1"/>
          <w:kern w:val="3"/>
          <w:sz w:val="28"/>
          <w:szCs w:val="28"/>
        </w:rPr>
        <w:t>机械伤害危险性分析</w:t>
      </w:r>
      <w:bookmarkEnd w:id="1254"/>
      <w:bookmarkEnd w:id="1255"/>
      <w:bookmarkEnd w:id="1256"/>
      <w:bookmarkEnd w:id="1257"/>
      <w:bookmarkEnd w:id="1258"/>
      <w:bookmarkEnd w:id="1259"/>
    </w:p>
    <w:p>
      <w:pPr>
        <w:spacing w:line="500" w:lineRule="exact"/>
        <w:ind w:firstLine="560" w:firstLineChars="200"/>
        <w:rPr>
          <w:color w:val="000000" w:themeColor="text1"/>
          <w:kern w:val="0"/>
          <w:sz w:val="28"/>
          <w:szCs w:val="28"/>
        </w:rPr>
      </w:pPr>
      <w:r>
        <w:rPr>
          <w:color w:val="000000" w:themeColor="text1"/>
          <w:kern w:val="0"/>
          <w:sz w:val="28"/>
          <w:szCs w:val="28"/>
        </w:rPr>
        <w:t>该项目使用的泵类设备的转动处易发生作业人员被切、绞、轧、挤、压、撞击等事故，引发机械伤害事故的主要原因分析如下：</w:t>
      </w:r>
    </w:p>
    <w:p>
      <w:pPr>
        <w:spacing w:line="500" w:lineRule="exact"/>
        <w:ind w:firstLine="560" w:firstLineChars="200"/>
        <w:rPr>
          <w:color w:val="000000" w:themeColor="text1"/>
          <w:kern w:val="0"/>
          <w:sz w:val="28"/>
          <w:szCs w:val="28"/>
        </w:rPr>
      </w:pPr>
      <w:r>
        <w:rPr>
          <w:color w:val="000000" w:themeColor="text1"/>
          <w:kern w:val="0"/>
          <w:sz w:val="28"/>
          <w:szCs w:val="28"/>
        </w:rPr>
        <w:t>1</w:t>
      </w:r>
      <w:r>
        <w:rPr>
          <w:rFonts w:hint="eastAsia"/>
          <w:color w:val="000000" w:themeColor="text1"/>
          <w:kern w:val="0"/>
          <w:sz w:val="28"/>
          <w:szCs w:val="28"/>
        </w:rPr>
        <w:t>.</w:t>
      </w:r>
      <w:r>
        <w:rPr>
          <w:color w:val="000000" w:themeColor="text1"/>
          <w:kern w:val="0"/>
          <w:sz w:val="28"/>
          <w:szCs w:val="28"/>
        </w:rPr>
        <w:t>转动机械设备或检、维修使用切割工具的安全防护装置缺失或损坏、或被拆除未恢复原位等。</w:t>
      </w:r>
    </w:p>
    <w:p>
      <w:pPr>
        <w:spacing w:line="500" w:lineRule="exact"/>
        <w:ind w:firstLine="560" w:firstLineChars="200"/>
        <w:rPr>
          <w:color w:val="000000" w:themeColor="text1"/>
          <w:kern w:val="0"/>
          <w:sz w:val="28"/>
          <w:szCs w:val="28"/>
        </w:rPr>
      </w:pPr>
      <w:r>
        <w:rPr>
          <w:color w:val="000000" w:themeColor="text1"/>
          <w:kern w:val="0"/>
          <w:sz w:val="28"/>
          <w:szCs w:val="28"/>
        </w:rPr>
        <w:t>2</w:t>
      </w:r>
      <w:r>
        <w:rPr>
          <w:rFonts w:hint="eastAsia"/>
          <w:color w:val="000000" w:themeColor="text1"/>
          <w:kern w:val="0"/>
          <w:sz w:val="28"/>
          <w:szCs w:val="28"/>
        </w:rPr>
        <w:t>.</w:t>
      </w:r>
      <w:r>
        <w:rPr>
          <w:color w:val="000000" w:themeColor="text1"/>
          <w:kern w:val="0"/>
          <w:sz w:val="28"/>
          <w:szCs w:val="28"/>
        </w:rPr>
        <w:t>泵类设备的转动部位无安全警示标识或失效，各作业人员在操作过程中未按规定穿戴劳动保护用品，违章作业或操作不当。</w:t>
      </w:r>
    </w:p>
    <w:p>
      <w:pPr>
        <w:spacing w:line="500" w:lineRule="exact"/>
        <w:ind w:firstLine="560" w:firstLineChars="200"/>
        <w:rPr>
          <w:color w:val="000000" w:themeColor="text1"/>
          <w:kern w:val="0"/>
          <w:sz w:val="28"/>
          <w:szCs w:val="28"/>
        </w:rPr>
      </w:pPr>
      <w:r>
        <w:rPr>
          <w:color w:val="000000" w:themeColor="text1"/>
          <w:kern w:val="0"/>
          <w:sz w:val="28"/>
          <w:szCs w:val="28"/>
        </w:rPr>
        <w:t>3</w:t>
      </w:r>
      <w:r>
        <w:rPr>
          <w:rFonts w:hint="eastAsia"/>
          <w:color w:val="000000" w:themeColor="text1"/>
          <w:kern w:val="0"/>
          <w:sz w:val="28"/>
          <w:szCs w:val="28"/>
        </w:rPr>
        <w:t>.</w:t>
      </w:r>
      <w:r>
        <w:rPr>
          <w:color w:val="000000" w:themeColor="text1"/>
          <w:kern w:val="0"/>
          <w:sz w:val="28"/>
          <w:szCs w:val="28"/>
        </w:rPr>
        <w:t>作业人员疏忽大意，身体误入机械危险部位或不停机检修设备，或在停车检修和正常作业时，机器突然被别人误启动。</w:t>
      </w:r>
    </w:p>
    <w:p>
      <w:pPr>
        <w:spacing w:line="500" w:lineRule="exact"/>
        <w:ind w:firstLine="560" w:firstLineChars="200"/>
        <w:rPr>
          <w:color w:val="000000" w:themeColor="text1"/>
          <w:kern w:val="0"/>
          <w:sz w:val="28"/>
          <w:szCs w:val="28"/>
        </w:rPr>
      </w:pPr>
      <w:r>
        <w:rPr>
          <w:color w:val="000000" w:themeColor="text1"/>
          <w:kern w:val="0"/>
          <w:sz w:val="28"/>
          <w:szCs w:val="28"/>
        </w:rPr>
        <w:t>4</w:t>
      </w:r>
      <w:r>
        <w:rPr>
          <w:rFonts w:hint="eastAsia"/>
          <w:color w:val="000000" w:themeColor="text1"/>
          <w:kern w:val="0"/>
          <w:sz w:val="28"/>
          <w:szCs w:val="28"/>
        </w:rPr>
        <w:t>.</w:t>
      </w:r>
      <w:r>
        <w:rPr>
          <w:color w:val="000000" w:themeColor="text1"/>
          <w:kern w:val="0"/>
          <w:sz w:val="28"/>
          <w:szCs w:val="28"/>
        </w:rPr>
        <w:t>各泵类设备布置未考虑检检修距离等其他原因。</w:t>
      </w:r>
    </w:p>
    <w:p>
      <w:pPr>
        <w:pStyle w:val="19"/>
        <w:spacing w:afterLines="100" w:line="500" w:lineRule="exact"/>
        <w:rPr>
          <w:rFonts w:ascii="黑体" w:hAnsi="宋体" w:eastAsia="黑体"/>
          <w:color w:val="000000" w:themeColor="text1"/>
          <w:kern w:val="3"/>
          <w:sz w:val="28"/>
          <w:szCs w:val="28"/>
        </w:rPr>
      </w:pPr>
      <w:bookmarkStart w:id="1260" w:name="_Toc71558494"/>
      <w:bookmarkStart w:id="1261" w:name="_Toc71710927"/>
      <w:bookmarkStart w:id="1262" w:name="_Toc22355"/>
      <w:bookmarkStart w:id="1263" w:name="_Toc18601"/>
      <w:bookmarkStart w:id="1264" w:name="_Toc12036"/>
      <w:bookmarkStart w:id="1265" w:name="_Toc19673"/>
      <w:r>
        <w:rPr>
          <w:rFonts w:hint="eastAsia" w:ascii="黑体" w:hAnsi="宋体" w:eastAsia="黑体"/>
          <w:color w:val="000000" w:themeColor="text1"/>
          <w:kern w:val="3"/>
          <w:sz w:val="28"/>
          <w:szCs w:val="28"/>
        </w:rPr>
        <w:t>3.5.9.</w:t>
      </w:r>
      <w:bookmarkEnd w:id="1260"/>
      <w:bookmarkEnd w:id="1261"/>
      <w:bookmarkStart w:id="1266" w:name="_Toc71710928"/>
      <w:bookmarkStart w:id="1267" w:name="_Toc71558495"/>
      <w:bookmarkStart w:id="1268" w:name="_Toc21627910"/>
      <w:bookmarkStart w:id="1269" w:name="_Toc21978397"/>
      <w:r>
        <w:rPr>
          <w:rFonts w:hint="eastAsia" w:ascii="黑体" w:hAnsi="宋体" w:eastAsia="黑体"/>
          <w:color w:val="000000" w:themeColor="text1"/>
          <w:kern w:val="3"/>
          <w:sz w:val="28"/>
          <w:szCs w:val="28"/>
        </w:rPr>
        <w:t>7其他危险性分析</w:t>
      </w:r>
      <w:bookmarkEnd w:id="1262"/>
      <w:bookmarkEnd w:id="1263"/>
      <w:bookmarkEnd w:id="1264"/>
      <w:bookmarkEnd w:id="1265"/>
      <w:bookmarkEnd w:id="1266"/>
      <w:bookmarkEnd w:id="1267"/>
      <w:bookmarkEnd w:id="1268"/>
      <w:bookmarkEnd w:id="1269"/>
    </w:p>
    <w:p>
      <w:pPr>
        <w:snapToGrid w:val="0"/>
        <w:spacing w:line="500" w:lineRule="exact"/>
        <w:ind w:firstLine="560" w:firstLineChars="200"/>
        <w:rPr>
          <w:snapToGrid w:val="0"/>
          <w:color w:val="000000" w:themeColor="text1"/>
          <w:kern w:val="0"/>
          <w:sz w:val="28"/>
          <w:szCs w:val="28"/>
        </w:rPr>
      </w:pPr>
      <w:r>
        <w:rPr>
          <w:rFonts w:eastAsiaTheme="minorEastAsia"/>
          <w:color w:val="000000" w:themeColor="text1"/>
          <w:kern w:val="0"/>
          <w:sz w:val="28"/>
          <w:szCs w:val="28"/>
        </w:rPr>
        <w:t>1</w:t>
      </w:r>
      <w:r>
        <w:rPr>
          <w:rFonts w:hint="eastAsia" w:eastAsiaTheme="minorEastAsia"/>
          <w:color w:val="000000" w:themeColor="text1"/>
          <w:kern w:val="0"/>
          <w:sz w:val="28"/>
          <w:szCs w:val="28"/>
        </w:rPr>
        <w:t>.</w:t>
      </w:r>
      <w:r>
        <w:rPr>
          <w:rFonts w:eastAsiaTheme="minorEastAsia"/>
          <w:color w:val="000000" w:themeColor="text1"/>
          <w:sz w:val="28"/>
          <w:szCs w:val="28"/>
        </w:rPr>
        <w:t>甲醇储存、装卸区使用的电气设置不防爆或</w:t>
      </w:r>
      <w:r>
        <w:rPr>
          <w:snapToGrid w:val="0"/>
          <w:color w:val="000000" w:themeColor="text1"/>
          <w:kern w:val="0"/>
          <w:sz w:val="28"/>
          <w:szCs w:val="28"/>
        </w:rPr>
        <w:t>防爆等级不符合相关要求，也易引发电气火灾。</w:t>
      </w:r>
    </w:p>
    <w:p>
      <w:pPr>
        <w:snapToGrid w:val="0"/>
        <w:spacing w:line="500" w:lineRule="exact"/>
        <w:ind w:firstLine="560" w:firstLineChars="200"/>
        <w:rPr>
          <w:rFonts w:eastAsiaTheme="minorEastAsia"/>
          <w:color w:val="000000" w:themeColor="text1"/>
          <w:sz w:val="28"/>
          <w:szCs w:val="28"/>
        </w:rPr>
      </w:pPr>
      <w:r>
        <w:rPr>
          <w:snapToGrid w:val="0"/>
          <w:color w:val="000000" w:themeColor="text1"/>
          <w:kern w:val="0"/>
          <w:sz w:val="28"/>
          <w:szCs w:val="28"/>
        </w:rPr>
        <w:t>2</w:t>
      </w:r>
      <w:r>
        <w:rPr>
          <w:rFonts w:hint="eastAsia"/>
          <w:snapToGrid w:val="0"/>
          <w:color w:val="000000" w:themeColor="text1"/>
          <w:kern w:val="0"/>
          <w:sz w:val="28"/>
          <w:szCs w:val="28"/>
        </w:rPr>
        <w:t>.</w:t>
      </w:r>
      <w:r>
        <w:rPr>
          <w:rFonts w:eastAsiaTheme="minorEastAsia"/>
          <w:color w:val="000000" w:themeColor="text1"/>
          <w:sz w:val="28"/>
          <w:szCs w:val="28"/>
        </w:rPr>
        <w:t>甲醇储罐区或其建（构）筑</w:t>
      </w:r>
      <w:r>
        <w:rPr>
          <w:color w:val="000000" w:themeColor="text1"/>
          <w:sz w:val="28"/>
          <w:szCs w:val="28"/>
        </w:rPr>
        <w:t>未按当地地震设防烈度进行设防，或施工质量不符</w:t>
      </w:r>
      <w:r>
        <w:rPr>
          <w:rFonts w:eastAsiaTheme="minorEastAsia"/>
          <w:color w:val="000000" w:themeColor="text1"/>
          <w:sz w:val="28"/>
          <w:szCs w:val="28"/>
        </w:rPr>
        <w:t>合要求等引发地面下沉等不良地质现象而造成建（构）筑物坍塌、设备、设施损坏、人员伤亡等危险。</w:t>
      </w:r>
    </w:p>
    <w:p>
      <w:pPr>
        <w:pStyle w:val="19"/>
        <w:spacing w:afterLines="100" w:line="500" w:lineRule="exact"/>
        <w:jc w:val="center"/>
        <w:rPr>
          <w:rFonts w:ascii="楷体_GB2312" w:hAnsi="宋体" w:eastAsia="楷体_GB2312"/>
          <w:color w:val="000000" w:themeColor="text1"/>
          <w:kern w:val="3"/>
        </w:rPr>
      </w:pPr>
      <w:bookmarkStart w:id="1270" w:name="_Toc21926"/>
      <w:bookmarkStart w:id="1271" w:name="_Toc28133"/>
      <w:bookmarkStart w:id="1272" w:name="_Toc32342"/>
      <w:bookmarkStart w:id="1273" w:name="_Toc20892"/>
      <w:bookmarkStart w:id="1274" w:name="_Toc10800"/>
      <w:bookmarkStart w:id="1275" w:name="_Toc4062"/>
      <w:bookmarkStart w:id="1276" w:name="_Toc17091"/>
      <w:bookmarkStart w:id="1277" w:name="_Toc15574"/>
      <w:bookmarkStart w:id="1278" w:name="_Toc22759_WPSOffice_Level2"/>
      <w:r>
        <w:rPr>
          <w:rFonts w:hint="eastAsia" w:ascii="楷体_GB2312" w:hAnsi="宋体" w:eastAsia="楷体_GB2312"/>
          <w:color w:val="000000" w:themeColor="text1"/>
          <w:kern w:val="3"/>
        </w:rPr>
        <w:t>3.6爆炸危险区划分</w:t>
      </w:r>
      <w:bookmarkEnd w:id="1270"/>
      <w:bookmarkEnd w:id="1271"/>
      <w:bookmarkEnd w:id="1272"/>
      <w:bookmarkEnd w:id="1273"/>
      <w:bookmarkEnd w:id="1274"/>
      <w:bookmarkEnd w:id="1275"/>
      <w:bookmarkEnd w:id="1276"/>
      <w:bookmarkEnd w:id="1277"/>
      <w:bookmarkEnd w:id="1278"/>
    </w:p>
    <w:p>
      <w:pPr>
        <w:pStyle w:val="19"/>
        <w:spacing w:afterLines="100" w:line="500" w:lineRule="exact"/>
        <w:rPr>
          <w:rFonts w:ascii="黑体" w:hAnsi="宋体" w:eastAsia="黑体"/>
          <w:color w:val="000000" w:themeColor="text1"/>
          <w:kern w:val="3"/>
          <w:sz w:val="28"/>
          <w:szCs w:val="28"/>
        </w:rPr>
      </w:pPr>
      <w:bookmarkStart w:id="1279" w:name="_Toc2265"/>
      <w:bookmarkStart w:id="1280" w:name="_Toc11727"/>
      <w:bookmarkStart w:id="1281" w:name="_Toc15862"/>
      <w:bookmarkStart w:id="1282" w:name="_Toc21834"/>
      <w:bookmarkStart w:id="1283" w:name="_Toc14716"/>
      <w:r>
        <w:rPr>
          <w:rFonts w:hint="eastAsia" w:ascii="黑体" w:hAnsi="宋体" w:eastAsia="黑体"/>
          <w:color w:val="000000" w:themeColor="text1"/>
          <w:kern w:val="3"/>
          <w:sz w:val="28"/>
          <w:szCs w:val="28"/>
        </w:rPr>
        <w:t>3.6.1装置或单元火灾危险性分类</w:t>
      </w:r>
      <w:bookmarkEnd w:id="1279"/>
      <w:bookmarkEnd w:id="1280"/>
      <w:bookmarkEnd w:id="1281"/>
      <w:bookmarkEnd w:id="1282"/>
      <w:bookmarkEnd w:id="1283"/>
    </w:p>
    <w:p>
      <w:pPr>
        <w:pStyle w:val="51"/>
        <w:rPr>
          <w:rFonts w:ascii="Times New Roman" w:hAnsi="Times New Roman"/>
          <w:color w:val="000000" w:themeColor="text1"/>
          <w:szCs w:val="28"/>
        </w:rPr>
      </w:pPr>
      <w:r>
        <w:rPr>
          <w:rFonts w:ascii="Times New Roman" w:hAnsi="Times New Roman"/>
          <w:color w:val="000000" w:themeColor="text1"/>
          <w:szCs w:val="28"/>
        </w:rPr>
        <w:t>本项目涉及到的危险化学品为甲醇，根据《建筑设计防火规范》（GB/T 50016-2014），甲醇火灾危险性为甲类。其生产和储存装置或单元火灾危险性分类如下表。</w:t>
      </w:r>
    </w:p>
    <w:p>
      <w:pPr>
        <w:pStyle w:val="51"/>
        <w:ind w:firstLine="0" w:firstLineChars="0"/>
        <w:jc w:val="center"/>
        <w:rPr>
          <w:rFonts w:ascii="Times New Roman" w:hAnsi="Times New Roman"/>
          <w:color w:val="000000" w:themeColor="text1"/>
          <w:szCs w:val="28"/>
        </w:rPr>
      </w:pPr>
      <w:bookmarkStart w:id="1284" w:name="_Toc276"/>
      <w:bookmarkStart w:id="1285" w:name="_Toc21823"/>
      <w:bookmarkStart w:id="1286" w:name="_Toc13551"/>
      <w:bookmarkStart w:id="1287" w:name="_Toc22340"/>
      <w:r>
        <w:rPr>
          <w:rFonts w:ascii="Times New Roman" w:hAnsi="Times New Roman"/>
          <w:color w:val="000000" w:themeColor="text1"/>
          <w:szCs w:val="28"/>
        </w:rPr>
        <w:t>表3-3 装置或单元火灾危险性分类表</w:t>
      </w:r>
      <w:bookmarkEnd w:id="1284"/>
      <w:bookmarkEnd w:id="1285"/>
      <w:bookmarkEnd w:id="1286"/>
      <w:bookmarkEnd w:id="1287"/>
    </w:p>
    <w:tbl>
      <w:tblPr>
        <w:tblStyle w:val="5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265"/>
        <w:gridCol w:w="1890"/>
        <w:gridCol w:w="4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序号</w:t>
            </w:r>
          </w:p>
        </w:tc>
        <w:tc>
          <w:tcPr>
            <w:tcW w:w="2265"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装置或单元名称</w:t>
            </w:r>
          </w:p>
        </w:tc>
        <w:tc>
          <w:tcPr>
            <w:tcW w:w="1890"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火灾危险性分类</w:t>
            </w:r>
          </w:p>
        </w:tc>
        <w:tc>
          <w:tcPr>
            <w:tcW w:w="4509"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1</w:t>
            </w:r>
          </w:p>
        </w:tc>
        <w:tc>
          <w:tcPr>
            <w:tcW w:w="2265"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甲醇罐区及工艺管道</w:t>
            </w:r>
          </w:p>
        </w:tc>
        <w:tc>
          <w:tcPr>
            <w:tcW w:w="1890"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甲</w:t>
            </w:r>
          </w:p>
        </w:tc>
        <w:tc>
          <w:tcPr>
            <w:tcW w:w="4509"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2个卧式埋地甲醇储罐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7"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2</w:t>
            </w:r>
          </w:p>
        </w:tc>
        <w:tc>
          <w:tcPr>
            <w:tcW w:w="2265"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工艺及设备区</w:t>
            </w:r>
          </w:p>
        </w:tc>
        <w:tc>
          <w:tcPr>
            <w:tcW w:w="1890"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甲</w:t>
            </w:r>
          </w:p>
        </w:tc>
        <w:tc>
          <w:tcPr>
            <w:tcW w:w="4509" w:type="dxa"/>
            <w:vAlign w:val="center"/>
          </w:tcPr>
          <w:p>
            <w:pPr>
              <w:pStyle w:val="51"/>
              <w:ind w:firstLine="0" w:firstLineChars="0"/>
              <w:jc w:val="center"/>
              <w:rPr>
                <w:rFonts w:cs="宋体"/>
                <w:color w:val="000000" w:themeColor="text1"/>
                <w:kern w:val="2"/>
                <w:sz w:val="21"/>
                <w:szCs w:val="21"/>
              </w:rPr>
            </w:pPr>
            <w:r>
              <w:rPr>
                <w:rFonts w:hint="eastAsia" w:cs="宋体"/>
                <w:color w:val="000000" w:themeColor="text1"/>
                <w:kern w:val="2"/>
                <w:sz w:val="21"/>
                <w:szCs w:val="21"/>
              </w:rPr>
              <w:t>1台加注机及其配套管道及管件</w:t>
            </w:r>
          </w:p>
        </w:tc>
      </w:tr>
    </w:tbl>
    <w:p>
      <w:pPr>
        <w:pStyle w:val="19"/>
        <w:spacing w:afterLines="100" w:line="500" w:lineRule="exact"/>
        <w:rPr>
          <w:rFonts w:ascii="黑体" w:hAnsi="宋体" w:eastAsia="黑体"/>
          <w:color w:val="000000" w:themeColor="text1"/>
          <w:kern w:val="3"/>
          <w:sz w:val="28"/>
          <w:szCs w:val="28"/>
        </w:rPr>
      </w:pPr>
      <w:bookmarkStart w:id="1288" w:name="_Toc27737"/>
      <w:bookmarkStart w:id="1289" w:name="_Toc20542"/>
      <w:bookmarkStart w:id="1290" w:name="_Toc7855"/>
      <w:bookmarkStart w:id="1291" w:name="_Toc19888"/>
      <w:bookmarkStart w:id="1292" w:name="_Toc12720"/>
      <w:r>
        <w:rPr>
          <w:rFonts w:hint="eastAsia" w:ascii="黑体" w:hAnsi="宋体" w:eastAsia="黑体"/>
          <w:color w:val="000000" w:themeColor="text1"/>
          <w:kern w:val="3"/>
          <w:sz w:val="28"/>
          <w:szCs w:val="28"/>
        </w:rPr>
        <w:t>3.6.2装置或单元爆炸危险区域划分</w:t>
      </w:r>
      <w:bookmarkEnd w:id="1288"/>
      <w:bookmarkEnd w:id="1289"/>
      <w:bookmarkEnd w:id="1290"/>
      <w:bookmarkEnd w:id="1291"/>
      <w:bookmarkEnd w:id="1292"/>
    </w:p>
    <w:p>
      <w:pPr>
        <w:pStyle w:val="51"/>
        <w:rPr>
          <w:rFonts w:ascii="Times New Roman" w:hAnsi="Times New Roman"/>
          <w:color w:val="000000" w:themeColor="text1"/>
          <w:kern w:val="2"/>
          <w:szCs w:val="28"/>
        </w:rPr>
      </w:pPr>
      <w:r>
        <w:rPr>
          <w:rFonts w:ascii="Times New Roman" w:hAnsi="Times New Roman"/>
          <w:color w:val="000000" w:themeColor="text1"/>
          <w:kern w:val="2"/>
          <w:szCs w:val="28"/>
        </w:rPr>
        <w:t>本项目在工艺过程中主要存在火灾、爆炸的危险，根据《汽车加油加气加氢站技术标准》（GB50156-2021）以及《爆炸危险环境电力装置设计规范》(GB50058-2014)爆炸危险环境区域的等级划分,本项目爆炸性气体环境危险区域划分如下:</w:t>
      </w:r>
    </w:p>
    <w:p>
      <w:pPr>
        <w:pStyle w:val="51"/>
        <w:rPr>
          <w:rFonts w:ascii="Times New Roman" w:hAnsi="Times New Roman"/>
          <w:color w:val="000000" w:themeColor="text1"/>
          <w:kern w:val="2"/>
          <w:szCs w:val="28"/>
        </w:rPr>
      </w:pPr>
      <w:r>
        <w:rPr>
          <w:rFonts w:hint="eastAsia" w:ascii="Times New Roman" w:hAnsi="Times New Roman"/>
          <w:color w:val="000000" w:themeColor="text1"/>
          <w:kern w:val="2"/>
          <w:szCs w:val="28"/>
        </w:rPr>
        <w:t>1.加注机</w:t>
      </w:r>
      <w:r>
        <w:rPr>
          <w:rFonts w:ascii="Times New Roman" w:hAnsi="Times New Roman"/>
          <w:color w:val="000000" w:themeColor="text1"/>
          <w:kern w:val="2"/>
          <w:szCs w:val="28"/>
        </w:rPr>
        <w:t>:以</w:t>
      </w:r>
      <w:r>
        <w:rPr>
          <w:rFonts w:hint="eastAsia" w:ascii="Times New Roman" w:hAnsi="Times New Roman"/>
          <w:color w:val="000000" w:themeColor="text1"/>
          <w:kern w:val="2"/>
          <w:szCs w:val="28"/>
        </w:rPr>
        <w:t>加注机</w:t>
      </w:r>
      <w:r>
        <w:rPr>
          <w:rFonts w:ascii="Times New Roman" w:hAnsi="Times New Roman"/>
          <w:color w:val="000000" w:themeColor="text1"/>
          <w:kern w:val="2"/>
          <w:szCs w:val="28"/>
        </w:rPr>
        <w:t>为中心，以半径为4.5m的地面至围墙区域为底面和以</w:t>
      </w:r>
      <w:r>
        <w:rPr>
          <w:rFonts w:hint="eastAsia" w:ascii="Times New Roman" w:hAnsi="Times New Roman"/>
          <w:color w:val="000000" w:themeColor="text1"/>
          <w:kern w:val="2"/>
          <w:szCs w:val="28"/>
        </w:rPr>
        <w:t>加注机</w:t>
      </w:r>
      <w:r>
        <w:rPr>
          <w:rFonts w:ascii="Times New Roman" w:hAnsi="Times New Roman"/>
          <w:color w:val="000000" w:themeColor="text1"/>
          <w:kern w:val="2"/>
          <w:szCs w:val="28"/>
        </w:rPr>
        <w:t>顶部以上0.15m，半径为3.0m 的平面为顶面的圆台形空间划为2区。</w:t>
      </w:r>
    </w:p>
    <w:p>
      <w:pPr>
        <w:pStyle w:val="51"/>
        <w:rPr>
          <w:rFonts w:ascii="Times New Roman" w:hAnsi="Times New Roman"/>
          <w:color w:val="000000" w:themeColor="text1"/>
          <w:kern w:val="2"/>
          <w:szCs w:val="28"/>
        </w:rPr>
      </w:pPr>
      <w:r>
        <w:rPr>
          <w:rFonts w:hint="eastAsia" w:ascii="Times New Roman" w:hAnsi="Times New Roman"/>
          <w:color w:val="000000" w:themeColor="text1"/>
          <w:kern w:val="2"/>
          <w:szCs w:val="28"/>
        </w:rPr>
        <w:t>2.甲醇罐:甲醇罐内部液体表面以上的空间划为0区；甲醇罐人孔井内部空间为1区；以甲醇罐通气管管口为中心，半径为0.75m的球形空间为1区;以甲醇罐密闭卸车口为中心，半径为0.5m的球形空间为1区；距甲醇罐人孔井外边缘1.5m以内，自地面算起 1m 高的圆柱形空间为2区；以甲醇罐通气管管口为中心，半径为2m的球形空间为2区；以甲醇罐密闭卸车口为中心，半径为1.5m的球形并延至地面的空间划为2区。</w:t>
      </w:r>
    </w:p>
    <w:p>
      <w:pPr>
        <w:pStyle w:val="19"/>
        <w:spacing w:afterLines="100" w:line="500" w:lineRule="exact"/>
        <w:jc w:val="center"/>
        <w:rPr>
          <w:rFonts w:ascii="楷体_GB2312" w:hAnsi="宋体" w:eastAsia="楷体_GB2312"/>
          <w:color w:val="000000" w:themeColor="text1"/>
          <w:kern w:val="3"/>
        </w:rPr>
      </w:pPr>
      <w:bookmarkStart w:id="1293" w:name="_Toc15893"/>
      <w:bookmarkStart w:id="1294" w:name="_Toc17839"/>
      <w:bookmarkStart w:id="1295" w:name="_Toc17642"/>
      <w:bookmarkStart w:id="1296" w:name="_Toc23879"/>
      <w:bookmarkStart w:id="1297" w:name="_Toc19827"/>
      <w:bookmarkStart w:id="1298" w:name="_Toc28731"/>
      <w:bookmarkStart w:id="1299" w:name="_Toc531"/>
      <w:bookmarkStart w:id="1300" w:name="_Toc16036"/>
      <w:bookmarkStart w:id="1301" w:name="_Toc25300"/>
      <w:bookmarkStart w:id="1302" w:name="_Toc8072"/>
      <w:bookmarkStart w:id="1303" w:name="_Toc25080"/>
      <w:bookmarkStart w:id="1304" w:name="_Toc11349"/>
      <w:bookmarkStart w:id="1305" w:name="_Toc19451_WPSOffice_Level2"/>
      <w:bookmarkStart w:id="1306" w:name="_Toc18471"/>
      <w:bookmarkStart w:id="1307" w:name="_Toc27871"/>
      <w:bookmarkStart w:id="1308" w:name="_Toc25924"/>
      <w:bookmarkStart w:id="1309" w:name="_Toc18738"/>
      <w:r>
        <w:rPr>
          <w:rFonts w:hint="eastAsia" w:ascii="楷体_GB2312" w:hAnsi="宋体" w:eastAsia="楷体_GB2312"/>
          <w:color w:val="000000" w:themeColor="text1"/>
          <w:kern w:val="3"/>
        </w:rPr>
        <w:t>3.7主要危险、有害因素汇总</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pPr>
        <w:adjustRightInd w:val="0"/>
        <w:snapToGri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由以上分析，该项目存在的主要危险、有害因素及其存在部位或操作过程汇总如下表所示：</w:t>
      </w:r>
    </w:p>
    <w:p>
      <w:pPr>
        <w:pStyle w:val="74"/>
        <w:spacing w:line="500" w:lineRule="exact"/>
        <w:ind w:firstLine="0" w:firstLineChars="0"/>
        <w:jc w:val="center"/>
        <w:rPr>
          <w:rFonts w:ascii="Times New Roman" w:hAnsi="Times New Roman"/>
          <w:color w:val="000000" w:themeColor="text1"/>
          <w:sz w:val="24"/>
          <w:szCs w:val="24"/>
        </w:rPr>
      </w:pPr>
      <w:r>
        <w:rPr>
          <w:rFonts w:ascii="Times New Roman" w:hAnsi="Times New Roman"/>
          <w:color w:val="000000" w:themeColor="text1"/>
          <w:sz w:val="24"/>
          <w:szCs w:val="24"/>
        </w:rPr>
        <w:t>表3-4主要危险、有害因素分布汇总表</w:t>
      </w:r>
    </w:p>
    <w:tbl>
      <w:tblPr>
        <w:tblStyle w:val="52"/>
        <w:tblW w:w="9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664"/>
        <w:gridCol w:w="6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blHeader/>
          <w:jc w:val="center"/>
        </w:trPr>
        <w:tc>
          <w:tcPr>
            <w:tcW w:w="678" w:type="dxa"/>
            <w:vAlign w:val="center"/>
          </w:tcPr>
          <w:p>
            <w:pPr>
              <w:spacing w:line="240" w:lineRule="atLeast"/>
              <w:jc w:val="center"/>
              <w:rPr>
                <w:b/>
                <w:color w:val="000000" w:themeColor="text1"/>
                <w:szCs w:val="21"/>
              </w:rPr>
            </w:pPr>
            <w:r>
              <w:rPr>
                <w:b/>
                <w:color w:val="000000" w:themeColor="text1"/>
                <w:szCs w:val="21"/>
              </w:rPr>
              <w:t>序号</w:t>
            </w:r>
          </w:p>
        </w:tc>
        <w:tc>
          <w:tcPr>
            <w:tcW w:w="1664" w:type="dxa"/>
            <w:vAlign w:val="center"/>
          </w:tcPr>
          <w:p>
            <w:pPr>
              <w:spacing w:line="240" w:lineRule="atLeast"/>
              <w:jc w:val="center"/>
              <w:rPr>
                <w:b/>
                <w:color w:val="000000" w:themeColor="text1"/>
                <w:szCs w:val="21"/>
              </w:rPr>
            </w:pPr>
            <w:r>
              <w:rPr>
                <w:b/>
                <w:color w:val="000000" w:themeColor="text1"/>
                <w:szCs w:val="21"/>
              </w:rPr>
              <w:t>主要危险、有害因素</w:t>
            </w:r>
          </w:p>
        </w:tc>
        <w:tc>
          <w:tcPr>
            <w:tcW w:w="6705" w:type="dxa"/>
            <w:vAlign w:val="center"/>
          </w:tcPr>
          <w:p>
            <w:pPr>
              <w:spacing w:line="240" w:lineRule="atLeast"/>
              <w:jc w:val="center"/>
              <w:rPr>
                <w:b/>
                <w:color w:val="000000" w:themeColor="text1"/>
                <w:szCs w:val="21"/>
              </w:rPr>
            </w:pPr>
            <w:r>
              <w:rPr>
                <w:b/>
                <w:color w:val="000000" w:themeColor="text1"/>
                <w:szCs w:val="21"/>
              </w:rPr>
              <w:t>主要存在部位或操作过程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78" w:type="dxa"/>
            <w:vAlign w:val="center"/>
          </w:tcPr>
          <w:p>
            <w:pPr>
              <w:spacing w:line="240" w:lineRule="atLeast"/>
              <w:jc w:val="center"/>
              <w:rPr>
                <w:color w:val="000000" w:themeColor="text1"/>
                <w:szCs w:val="21"/>
              </w:rPr>
            </w:pPr>
            <w:r>
              <w:rPr>
                <w:color w:val="000000" w:themeColor="text1"/>
                <w:szCs w:val="21"/>
              </w:rPr>
              <w:t>1</w:t>
            </w:r>
          </w:p>
        </w:tc>
        <w:tc>
          <w:tcPr>
            <w:tcW w:w="1664" w:type="dxa"/>
            <w:vAlign w:val="center"/>
          </w:tcPr>
          <w:p>
            <w:pPr>
              <w:spacing w:line="280" w:lineRule="exact"/>
              <w:jc w:val="center"/>
              <w:rPr>
                <w:color w:val="000000" w:themeColor="text1"/>
                <w:szCs w:val="21"/>
              </w:rPr>
            </w:pPr>
            <w:r>
              <w:rPr>
                <w:color w:val="000000" w:themeColor="text1"/>
                <w:szCs w:val="21"/>
              </w:rPr>
              <w:t>火灾、其他爆炸</w:t>
            </w:r>
          </w:p>
        </w:tc>
        <w:tc>
          <w:tcPr>
            <w:tcW w:w="6705" w:type="dxa"/>
            <w:vAlign w:val="center"/>
          </w:tcPr>
          <w:p>
            <w:pPr>
              <w:spacing w:line="280" w:lineRule="exact"/>
              <w:rPr>
                <w:color w:val="000000" w:themeColor="text1"/>
                <w:szCs w:val="21"/>
              </w:rPr>
            </w:pPr>
            <w:r>
              <w:rPr>
                <w:color w:val="000000" w:themeColor="text1"/>
                <w:szCs w:val="21"/>
              </w:rPr>
              <w:t>甲醇储罐区、装卸区及其输送管道；甲醇卸车、分装和储存、装车过程；各用电设备及电力线路处；检、维修过程。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78" w:type="dxa"/>
            <w:vAlign w:val="center"/>
          </w:tcPr>
          <w:p>
            <w:pPr>
              <w:spacing w:line="240" w:lineRule="atLeast"/>
              <w:jc w:val="center"/>
              <w:rPr>
                <w:color w:val="000000" w:themeColor="text1"/>
                <w:szCs w:val="21"/>
              </w:rPr>
            </w:pPr>
            <w:r>
              <w:rPr>
                <w:color w:val="000000" w:themeColor="text1"/>
                <w:szCs w:val="21"/>
              </w:rPr>
              <w:t>2</w:t>
            </w:r>
          </w:p>
        </w:tc>
        <w:tc>
          <w:tcPr>
            <w:tcW w:w="1664" w:type="dxa"/>
            <w:vAlign w:val="center"/>
          </w:tcPr>
          <w:p>
            <w:pPr>
              <w:spacing w:line="280" w:lineRule="exact"/>
              <w:jc w:val="center"/>
              <w:rPr>
                <w:color w:val="000000" w:themeColor="text1"/>
                <w:szCs w:val="21"/>
              </w:rPr>
            </w:pPr>
            <w:r>
              <w:rPr>
                <w:color w:val="000000" w:themeColor="text1"/>
                <w:szCs w:val="21"/>
              </w:rPr>
              <w:t>中毒、窒息</w:t>
            </w:r>
          </w:p>
        </w:tc>
        <w:tc>
          <w:tcPr>
            <w:tcW w:w="6705" w:type="dxa"/>
            <w:vAlign w:val="center"/>
          </w:tcPr>
          <w:p>
            <w:pPr>
              <w:spacing w:line="280" w:lineRule="exact"/>
              <w:rPr>
                <w:color w:val="000000" w:themeColor="text1"/>
                <w:szCs w:val="21"/>
              </w:rPr>
            </w:pPr>
            <w:r>
              <w:rPr>
                <w:color w:val="000000" w:themeColor="text1"/>
                <w:szCs w:val="21"/>
              </w:rPr>
              <w:t>甲醇储罐区、装卸区及其输送管道；甲醇卸车、分装和储存、装车过程；检、维修过程。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78" w:type="dxa"/>
            <w:vAlign w:val="center"/>
          </w:tcPr>
          <w:p>
            <w:pPr>
              <w:spacing w:line="240" w:lineRule="atLeast"/>
              <w:jc w:val="center"/>
              <w:rPr>
                <w:color w:val="000000" w:themeColor="text1"/>
                <w:szCs w:val="21"/>
              </w:rPr>
            </w:pPr>
            <w:r>
              <w:rPr>
                <w:color w:val="000000" w:themeColor="text1"/>
                <w:szCs w:val="21"/>
              </w:rPr>
              <w:t>3</w:t>
            </w:r>
          </w:p>
        </w:tc>
        <w:tc>
          <w:tcPr>
            <w:tcW w:w="1664" w:type="dxa"/>
            <w:vAlign w:val="center"/>
          </w:tcPr>
          <w:p>
            <w:pPr>
              <w:spacing w:line="280" w:lineRule="exact"/>
              <w:jc w:val="center"/>
              <w:rPr>
                <w:color w:val="000000" w:themeColor="text1"/>
                <w:szCs w:val="21"/>
              </w:rPr>
            </w:pPr>
            <w:r>
              <w:rPr>
                <w:color w:val="000000" w:themeColor="text1"/>
                <w:szCs w:val="21"/>
              </w:rPr>
              <w:t>触电</w:t>
            </w:r>
          </w:p>
        </w:tc>
        <w:tc>
          <w:tcPr>
            <w:tcW w:w="6705" w:type="dxa"/>
            <w:vAlign w:val="center"/>
          </w:tcPr>
          <w:p>
            <w:pPr>
              <w:spacing w:line="280" w:lineRule="exact"/>
              <w:rPr>
                <w:color w:val="000000" w:themeColor="text1"/>
                <w:szCs w:val="21"/>
              </w:rPr>
            </w:pPr>
            <w:r>
              <w:rPr>
                <w:color w:val="000000" w:themeColor="text1"/>
                <w:szCs w:val="21"/>
              </w:rPr>
              <w:t>各用电设备及电力线路处；</w:t>
            </w:r>
            <w:r>
              <w:rPr>
                <w:bCs/>
                <w:snapToGrid w:val="0"/>
                <w:color w:val="000000" w:themeColor="text1"/>
                <w:kern w:val="0"/>
                <w:szCs w:val="21"/>
              </w:rPr>
              <w:t>检、维修过程。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78" w:type="dxa"/>
            <w:vAlign w:val="center"/>
          </w:tcPr>
          <w:p>
            <w:pPr>
              <w:spacing w:line="240" w:lineRule="atLeast"/>
              <w:jc w:val="center"/>
              <w:rPr>
                <w:color w:val="000000" w:themeColor="text1"/>
                <w:szCs w:val="21"/>
              </w:rPr>
            </w:pPr>
            <w:r>
              <w:rPr>
                <w:color w:val="000000" w:themeColor="text1"/>
                <w:szCs w:val="21"/>
              </w:rPr>
              <w:t>4</w:t>
            </w:r>
          </w:p>
        </w:tc>
        <w:tc>
          <w:tcPr>
            <w:tcW w:w="1664" w:type="dxa"/>
            <w:vAlign w:val="center"/>
          </w:tcPr>
          <w:p>
            <w:pPr>
              <w:spacing w:line="280" w:lineRule="exact"/>
              <w:jc w:val="center"/>
              <w:rPr>
                <w:color w:val="000000" w:themeColor="text1"/>
                <w:szCs w:val="21"/>
              </w:rPr>
            </w:pPr>
            <w:r>
              <w:rPr>
                <w:color w:val="000000" w:themeColor="text1"/>
                <w:szCs w:val="21"/>
              </w:rPr>
              <w:t>雷电危害</w:t>
            </w:r>
          </w:p>
        </w:tc>
        <w:tc>
          <w:tcPr>
            <w:tcW w:w="6705" w:type="dxa"/>
            <w:vAlign w:val="center"/>
          </w:tcPr>
          <w:p>
            <w:pPr>
              <w:spacing w:line="280" w:lineRule="exact"/>
              <w:rPr>
                <w:color w:val="000000" w:themeColor="text1"/>
                <w:szCs w:val="21"/>
              </w:rPr>
            </w:pPr>
            <w:r>
              <w:rPr>
                <w:color w:val="000000" w:themeColor="text1"/>
                <w:szCs w:val="21"/>
              </w:rPr>
              <w:t>甲醇储罐区、装卸区及其输送管道；甲醇卸车、分装和储存、装车过程；项目区各建（构）筑物处。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78" w:type="dxa"/>
            <w:vAlign w:val="center"/>
          </w:tcPr>
          <w:p>
            <w:pPr>
              <w:spacing w:line="240" w:lineRule="atLeast"/>
              <w:jc w:val="center"/>
              <w:rPr>
                <w:color w:val="000000" w:themeColor="text1"/>
                <w:szCs w:val="21"/>
              </w:rPr>
            </w:pPr>
            <w:r>
              <w:rPr>
                <w:color w:val="000000" w:themeColor="text1"/>
                <w:szCs w:val="21"/>
              </w:rPr>
              <w:t>5</w:t>
            </w:r>
          </w:p>
        </w:tc>
        <w:tc>
          <w:tcPr>
            <w:tcW w:w="1664" w:type="dxa"/>
            <w:vAlign w:val="center"/>
          </w:tcPr>
          <w:p>
            <w:pPr>
              <w:spacing w:line="280" w:lineRule="exact"/>
              <w:jc w:val="center"/>
              <w:rPr>
                <w:color w:val="000000" w:themeColor="text1"/>
                <w:szCs w:val="21"/>
              </w:rPr>
            </w:pPr>
            <w:r>
              <w:rPr>
                <w:color w:val="000000" w:themeColor="text1"/>
                <w:szCs w:val="21"/>
              </w:rPr>
              <w:t>静电危害</w:t>
            </w:r>
          </w:p>
        </w:tc>
        <w:tc>
          <w:tcPr>
            <w:tcW w:w="6705" w:type="dxa"/>
            <w:vAlign w:val="center"/>
          </w:tcPr>
          <w:p>
            <w:pPr>
              <w:spacing w:line="280" w:lineRule="exact"/>
              <w:rPr>
                <w:color w:val="000000" w:themeColor="text1"/>
                <w:szCs w:val="21"/>
              </w:rPr>
            </w:pPr>
            <w:r>
              <w:rPr>
                <w:color w:val="000000" w:themeColor="text1"/>
                <w:szCs w:val="21"/>
              </w:rPr>
              <w:t>甲醇储罐区、装卸区及其输送管道；甲醇卸车、分装和储存、装车过程；</w:t>
            </w:r>
            <w:r>
              <w:rPr>
                <w:bCs/>
                <w:snapToGrid w:val="0"/>
                <w:color w:val="000000" w:themeColor="text1"/>
                <w:kern w:val="0"/>
                <w:szCs w:val="21"/>
              </w:rPr>
              <w:t>检、维修过程。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78" w:type="dxa"/>
            <w:vAlign w:val="center"/>
          </w:tcPr>
          <w:p>
            <w:pPr>
              <w:spacing w:line="240" w:lineRule="atLeast"/>
              <w:jc w:val="center"/>
              <w:rPr>
                <w:color w:val="000000" w:themeColor="text1"/>
                <w:szCs w:val="21"/>
              </w:rPr>
            </w:pPr>
            <w:r>
              <w:rPr>
                <w:color w:val="000000" w:themeColor="text1"/>
                <w:szCs w:val="21"/>
              </w:rPr>
              <w:t>6</w:t>
            </w:r>
          </w:p>
        </w:tc>
        <w:tc>
          <w:tcPr>
            <w:tcW w:w="1664" w:type="dxa"/>
            <w:vAlign w:val="center"/>
          </w:tcPr>
          <w:p>
            <w:pPr>
              <w:spacing w:line="280" w:lineRule="exact"/>
              <w:jc w:val="center"/>
              <w:rPr>
                <w:color w:val="000000" w:themeColor="text1"/>
                <w:szCs w:val="21"/>
              </w:rPr>
            </w:pPr>
            <w:r>
              <w:rPr>
                <w:color w:val="000000" w:themeColor="text1"/>
                <w:szCs w:val="21"/>
              </w:rPr>
              <w:t>车辆伤害</w:t>
            </w:r>
          </w:p>
        </w:tc>
        <w:tc>
          <w:tcPr>
            <w:tcW w:w="6705" w:type="dxa"/>
            <w:vAlign w:val="center"/>
          </w:tcPr>
          <w:p>
            <w:pPr>
              <w:spacing w:line="280" w:lineRule="exact"/>
              <w:rPr>
                <w:color w:val="000000" w:themeColor="text1"/>
                <w:szCs w:val="21"/>
              </w:rPr>
            </w:pPr>
            <w:r>
              <w:rPr>
                <w:color w:val="000000" w:themeColor="text1"/>
                <w:szCs w:val="21"/>
              </w:rPr>
              <w:t>甲醇装卸车区；甲醇装卸过程；项目区道路出入口等处。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78" w:type="dxa"/>
            <w:vAlign w:val="center"/>
          </w:tcPr>
          <w:p>
            <w:pPr>
              <w:spacing w:line="240" w:lineRule="atLeast"/>
              <w:jc w:val="center"/>
              <w:rPr>
                <w:color w:val="000000" w:themeColor="text1"/>
                <w:szCs w:val="21"/>
              </w:rPr>
            </w:pPr>
            <w:r>
              <w:rPr>
                <w:color w:val="000000" w:themeColor="text1"/>
                <w:szCs w:val="21"/>
              </w:rPr>
              <w:t>7</w:t>
            </w:r>
          </w:p>
        </w:tc>
        <w:tc>
          <w:tcPr>
            <w:tcW w:w="1664" w:type="dxa"/>
            <w:vAlign w:val="center"/>
          </w:tcPr>
          <w:p>
            <w:pPr>
              <w:spacing w:line="280" w:lineRule="exact"/>
              <w:jc w:val="center"/>
              <w:rPr>
                <w:color w:val="000000" w:themeColor="text1"/>
                <w:szCs w:val="21"/>
              </w:rPr>
            </w:pPr>
            <w:r>
              <w:rPr>
                <w:color w:val="000000" w:themeColor="text1"/>
                <w:szCs w:val="21"/>
              </w:rPr>
              <w:t>高处坠落</w:t>
            </w:r>
          </w:p>
        </w:tc>
        <w:tc>
          <w:tcPr>
            <w:tcW w:w="6705" w:type="dxa"/>
            <w:vAlign w:val="center"/>
          </w:tcPr>
          <w:p>
            <w:pPr>
              <w:spacing w:line="280" w:lineRule="exact"/>
              <w:rPr>
                <w:color w:val="000000" w:themeColor="text1"/>
                <w:szCs w:val="21"/>
              </w:rPr>
            </w:pPr>
            <w:r>
              <w:rPr>
                <w:color w:val="000000" w:themeColor="text1"/>
                <w:szCs w:val="21"/>
              </w:rPr>
              <w:t>甲醇储存区、装卸车区；甲醇分装、装卸过程。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78" w:type="dxa"/>
            <w:vAlign w:val="center"/>
          </w:tcPr>
          <w:p>
            <w:pPr>
              <w:spacing w:line="240" w:lineRule="atLeast"/>
              <w:jc w:val="center"/>
              <w:rPr>
                <w:color w:val="000000" w:themeColor="text1"/>
                <w:szCs w:val="21"/>
              </w:rPr>
            </w:pPr>
            <w:r>
              <w:rPr>
                <w:color w:val="000000" w:themeColor="text1"/>
                <w:szCs w:val="21"/>
              </w:rPr>
              <w:t>8</w:t>
            </w:r>
          </w:p>
        </w:tc>
        <w:tc>
          <w:tcPr>
            <w:tcW w:w="1664" w:type="dxa"/>
            <w:vAlign w:val="center"/>
          </w:tcPr>
          <w:p>
            <w:pPr>
              <w:spacing w:line="280" w:lineRule="exact"/>
              <w:jc w:val="center"/>
              <w:rPr>
                <w:color w:val="000000" w:themeColor="text1"/>
                <w:szCs w:val="21"/>
              </w:rPr>
            </w:pPr>
            <w:r>
              <w:rPr>
                <w:color w:val="000000" w:themeColor="text1"/>
                <w:szCs w:val="21"/>
              </w:rPr>
              <w:t>机械伤害</w:t>
            </w:r>
          </w:p>
        </w:tc>
        <w:tc>
          <w:tcPr>
            <w:tcW w:w="6705" w:type="dxa"/>
            <w:vAlign w:val="center"/>
          </w:tcPr>
          <w:p>
            <w:pPr>
              <w:spacing w:line="280" w:lineRule="exact"/>
              <w:rPr>
                <w:color w:val="000000" w:themeColor="text1"/>
                <w:szCs w:val="21"/>
              </w:rPr>
            </w:pPr>
            <w:r>
              <w:rPr>
                <w:color w:val="000000" w:themeColor="text1"/>
                <w:szCs w:val="21"/>
              </w:rPr>
              <w:t>泵类等机械设备的转动部位处；甲醇分装及储存过程；检、维修过程。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78" w:type="dxa"/>
            <w:vAlign w:val="center"/>
          </w:tcPr>
          <w:p>
            <w:pPr>
              <w:spacing w:line="240" w:lineRule="atLeast"/>
              <w:jc w:val="center"/>
              <w:rPr>
                <w:color w:val="000000" w:themeColor="text1"/>
                <w:szCs w:val="21"/>
              </w:rPr>
            </w:pPr>
            <w:r>
              <w:rPr>
                <w:color w:val="000000" w:themeColor="text1"/>
                <w:szCs w:val="21"/>
              </w:rPr>
              <w:t>9</w:t>
            </w:r>
          </w:p>
        </w:tc>
        <w:tc>
          <w:tcPr>
            <w:tcW w:w="1664" w:type="dxa"/>
            <w:vAlign w:val="center"/>
          </w:tcPr>
          <w:p>
            <w:pPr>
              <w:spacing w:line="280" w:lineRule="exact"/>
              <w:jc w:val="center"/>
              <w:rPr>
                <w:color w:val="000000" w:themeColor="text1"/>
                <w:szCs w:val="21"/>
              </w:rPr>
            </w:pPr>
            <w:r>
              <w:rPr>
                <w:color w:val="000000" w:themeColor="text1"/>
                <w:szCs w:val="21"/>
              </w:rPr>
              <w:t>物体打击</w:t>
            </w:r>
          </w:p>
        </w:tc>
        <w:tc>
          <w:tcPr>
            <w:tcW w:w="6705" w:type="dxa"/>
            <w:vAlign w:val="center"/>
          </w:tcPr>
          <w:p>
            <w:pPr>
              <w:spacing w:line="280" w:lineRule="exact"/>
              <w:rPr>
                <w:color w:val="000000" w:themeColor="text1"/>
                <w:szCs w:val="21"/>
              </w:rPr>
            </w:pPr>
            <w:r>
              <w:rPr>
                <w:color w:val="000000" w:themeColor="text1"/>
                <w:szCs w:val="21"/>
              </w:rPr>
              <w:t>甲醇储存区、装卸车区；甲醇分装、装卸过程。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78" w:type="dxa"/>
            <w:vAlign w:val="center"/>
          </w:tcPr>
          <w:p>
            <w:pPr>
              <w:spacing w:line="240" w:lineRule="atLeast"/>
              <w:jc w:val="center"/>
              <w:rPr>
                <w:color w:val="000000" w:themeColor="text1"/>
                <w:szCs w:val="21"/>
              </w:rPr>
            </w:pPr>
            <w:r>
              <w:rPr>
                <w:color w:val="000000" w:themeColor="text1"/>
                <w:szCs w:val="21"/>
              </w:rPr>
              <w:t>10</w:t>
            </w:r>
          </w:p>
        </w:tc>
        <w:tc>
          <w:tcPr>
            <w:tcW w:w="1664" w:type="dxa"/>
            <w:vAlign w:val="center"/>
          </w:tcPr>
          <w:p>
            <w:pPr>
              <w:spacing w:line="280" w:lineRule="exact"/>
              <w:jc w:val="center"/>
              <w:rPr>
                <w:color w:val="000000" w:themeColor="text1"/>
                <w:szCs w:val="21"/>
              </w:rPr>
            </w:pPr>
            <w:r>
              <w:rPr>
                <w:color w:val="000000" w:themeColor="text1"/>
                <w:szCs w:val="21"/>
              </w:rPr>
              <w:t>化学腐蚀、化学灼伤</w:t>
            </w:r>
          </w:p>
        </w:tc>
        <w:tc>
          <w:tcPr>
            <w:tcW w:w="6705" w:type="dxa"/>
            <w:vAlign w:val="center"/>
          </w:tcPr>
          <w:p>
            <w:pPr>
              <w:spacing w:line="280" w:lineRule="exact"/>
              <w:rPr>
                <w:color w:val="000000" w:themeColor="text1"/>
                <w:szCs w:val="21"/>
              </w:rPr>
            </w:pPr>
            <w:r>
              <w:rPr>
                <w:color w:val="000000" w:themeColor="text1"/>
                <w:szCs w:val="21"/>
              </w:rPr>
              <w:t>甲醇储罐区、装卸区及其输送管道；甲醇卸车、分装储存、装车过程；检、维修过程</w:t>
            </w:r>
            <w:r>
              <w:rPr>
                <w:snapToGrid w:val="0"/>
                <w:color w:val="000000" w:themeColor="text1"/>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78" w:type="dxa"/>
            <w:vAlign w:val="center"/>
          </w:tcPr>
          <w:p>
            <w:pPr>
              <w:spacing w:line="240" w:lineRule="atLeast"/>
              <w:jc w:val="center"/>
              <w:rPr>
                <w:color w:val="000000" w:themeColor="text1"/>
                <w:szCs w:val="21"/>
              </w:rPr>
            </w:pPr>
            <w:r>
              <w:rPr>
                <w:color w:val="000000" w:themeColor="text1"/>
                <w:szCs w:val="21"/>
              </w:rPr>
              <w:t>11</w:t>
            </w:r>
          </w:p>
        </w:tc>
        <w:tc>
          <w:tcPr>
            <w:tcW w:w="1664" w:type="dxa"/>
            <w:vAlign w:val="center"/>
          </w:tcPr>
          <w:p>
            <w:pPr>
              <w:spacing w:line="280" w:lineRule="exact"/>
              <w:jc w:val="center"/>
              <w:rPr>
                <w:color w:val="000000" w:themeColor="text1"/>
                <w:szCs w:val="21"/>
              </w:rPr>
            </w:pPr>
            <w:r>
              <w:rPr>
                <w:color w:val="000000" w:themeColor="text1"/>
                <w:szCs w:val="21"/>
              </w:rPr>
              <w:t>噪声危害</w:t>
            </w:r>
          </w:p>
        </w:tc>
        <w:tc>
          <w:tcPr>
            <w:tcW w:w="6705" w:type="dxa"/>
            <w:vAlign w:val="center"/>
          </w:tcPr>
          <w:p>
            <w:pPr>
              <w:spacing w:line="280" w:lineRule="exact"/>
              <w:rPr>
                <w:color w:val="000000" w:themeColor="text1"/>
                <w:szCs w:val="21"/>
              </w:rPr>
            </w:pPr>
            <w:r>
              <w:rPr>
                <w:color w:val="000000" w:themeColor="text1"/>
                <w:szCs w:val="21"/>
              </w:rPr>
              <w:t>甲醇储存区、装卸区；甲醇分装、装卸过程；检、维修过程。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78" w:type="dxa"/>
            <w:vAlign w:val="center"/>
          </w:tcPr>
          <w:p>
            <w:pPr>
              <w:spacing w:line="240" w:lineRule="atLeast"/>
              <w:jc w:val="center"/>
              <w:rPr>
                <w:color w:val="000000" w:themeColor="text1"/>
                <w:szCs w:val="21"/>
              </w:rPr>
            </w:pPr>
            <w:r>
              <w:rPr>
                <w:color w:val="000000" w:themeColor="text1"/>
                <w:szCs w:val="21"/>
              </w:rPr>
              <w:t>12</w:t>
            </w:r>
          </w:p>
        </w:tc>
        <w:tc>
          <w:tcPr>
            <w:tcW w:w="1664" w:type="dxa"/>
            <w:vAlign w:val="center"/>
          </w:tcPr>
          <w:p>
            <w:pPr>
              <w:spacing w:line="280" w:lineRule="exact"/>
              <w:jc w:val="center"/>
              <w:rPr>
                <w:color w:val="000000" w:themeColor="text1"/>
                <w:szCs w:val="21"/>
              </w:rPr>
            </w:pPr>
            <w:r>
              <w:rPr>
                <w:color w:val="000000" w:themeColor="text1"/>
                <w:szCs w:val="21"/>
              </w:rPr>
              <w:t>其他，如坍塌、暴雨、地震等</w:t>
            </w:r>
          </w:p>
        </w:tc>
        <w:tc>
          <w:tcPr>
            <w:tcW w:w="6705" w:type="dxa"/>
            <w:vAlign w:val="center"/>
          </w:tcPr>
          <w:p>
            <w:pPr>
              <w:spacing w:line="280" w:lineRule="exact"/>
              <w:rPr>
                <w:color w:val="000000" w:themeColor="text1"/>
                <w:szCs w:val="21"/>
              </w:rPr>
            </w:pPr>
            <w:r>
              <w:rPr>
                <w:color w:val="000000" w:themeColor="text1"/>
                <w:szCs w:val="21"/>
              </w:rPr>
              <w:t>项目区域。</w:t>
            </w:r>
          </w:p>
        </w:tc>
      </w:tr>
      <w:bookmarkEnd w:id="1040"/>
      <w:bookmarkEnd w:id="1041"/>
      <w:bookmarkEnd w:id="1042"/>
      <w:bookmarkEnd w:id="1043"/>
      <w:bookmarkEnd w:id="1044"/>
      <w:bookmarkEnd w:id="1045"/>
      <w:bookmarkEnd w:id="1046"/>
      <w:bookmarkEnd w:id="1047"/>
      <w:bookmarkEnd w:id="1048"/>
    </w:tbl>
    <w:p>
      <w:pPr>
        <w:pStyle w:val="19"/>
        <w:spacing w:afterLines="100" w:line="500" w:lineRule="exact"/>
        <w:jc w:val="center"/>
        <w:rPr>
          <w:rFonts w:ascii="楷体_GB2312" w:hAnsi="宋体" w:eastAsia="楷体_GB2312"/>
          <w:color w:val="000000" w:themeColor="text1"/>
          <w:kern w:val="3"/>
        </w:rPr>
      </w:pPr>
      <w:bookmarkStart w:id="1310" w:name="_Toc19584"/>
      <w:bookmarkStart w:id="1311" w:name="_Toc15955"/>
      <w:bookmarkStart w:id="1312" w:name="_Toc13493"/>
      <w:bookmarkStart w:id="1313" w:name="_Toc11243"/>
      <w:bookmarkStart w:id="1314" w:name="_Toc11561"/>
      <w:bookmarkStart w:id="1315" w:name="_Toc16720"/>
      <w:bookmarkStart w:id="1316" w:name="_Toc16960"/>
      <w:bookmarkStart w:id="1317" w:name="_Toc17250"/>
      <w:bookmarkStart w:id="1318" w:name="_Toc8345"/>
      <w:bookmarkStart w:id="1319" w:name="_Toc8995_WPSOffice_Level2"/>
      <w:bookmarkStart w:id="1320" w:name="_Toc24643"/>
      <w:bookmarkStart w:id="1321" w:name="_Toc15141"/>
      <w:bookmarkStart w:id="1322" w:name="_Toc10799"/>
      <w:bookmarkStart w:id="1323" w:name="_Toc9697"/>
      <w:bookmarkStart w:id="1324" w:name="_Toc27280"/>
      <w:bookmarkStart w:id="1325" w:name="_Toc5534"/>
      <w:bookmarkStart w:id="1326" w:name="_Toc14808"/>
      <w:r>
        <w:rPr>
          <w:rFonts w:hint="eastAsia" w:ascii="楷体_GB2312" w:hAnsi="宋体" w:eastAsia="楷体_GB2312"/>
          <w:color w:val="000000" w:themeColor="text1"/>
          <w:kern w:val="3"/>
        </w:rPr>
        <w:t>3.8危险化学品重大危险源辨识</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pPr>
        <w:pStyle w:val="19"/>
        <w:spacing w:afterLines="100" w:line="500" w:lineRule="exact"/>
        <w:rPr>
          <w:rFonts w:ascii="黑体" w:hAnsi="宋体" w:eastAsia="黑体"/>
          <w:color w:val="000000" w:themeColor="text1"/>
          <w:kern w:val="3"/>
          <w:sz w:val="28"/>
          <w:szCs w:val="28"/>
        </w:rPr>
      </w:pPr>
      <w:bookmarkStart w:id="1327" w:name="_Toc18614"/>
      <w:bookmarkStart w:id="1328" w:name="_Toc11038"/>
      <w:bookmarkStart w:id="1329" w:name="_Toc10417"/>
      <w:bookmarkStart w:id="1330" w:name="_Toc15110"/>
      <w:bookmarkStart w:id="1331" w:name="_Toc286493604"/>
      <w:bookmarkStart w:id="1332" w:name="_Toc10284"/>
      <w:bookmarkStart w:id="1333" w:name="_Toc8539"/>
      <w:bookmarkStart w:id="1334" w:name="_Toc191729746"/>
      <w:bookmarkStart w:id="1335" w:name="_Toc191728186"/>
      <w:bookmarkStart w:id="1336" w:name="_Toc345765781"/>
      <w:bookmarkStart w:id="1337" w:name="_Toc18306"/>
      <w:bookmarkStart w:id="1338" w:name="_Toc208398738"/>
      <w:bookmarkStart w:id="1339" w:name="_Toc194389943"/>
      <w:bookmarkStart w:id="1340" w:name="_Toc16167"/>
      <w:bookmarkStart w:id="1341" w:name="_Toc23102"/>
      <w:bookmarkStart w:id="1342" w:name="_Toc9102"/>
      <w:bookmarkStart w:id="1343" w:name="_Toc191730030"/>
      <w:bookmarkStart w:id="1344" w:name="_Toc27343"/>
      <w:r>
        <w:rPr>
          <w:rFonts w:hint="eastAsia" w:ascii="黑体" w:hAnsi="宋体" w:eastAsia="黑体"/>
          <w:color w:val="000000" w:themeColor="text1"/>
          <w:kern w:val="3"/>
          <w:sz w:val="28"/>
          <w:szCs w:val="28"/>
        </w:rPr>
        <w:t>3.8.1方法介绍</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pPr>
        <w:spacing w:line="500" w:lineRule="exact"/>
        <w:ind w:firstLine="560" w:firstLineChars="200"/>
        <w:rPr>
          <w:color w:val="000000" w:themeColor="text1"/>
          <w:sz w:val="28"/>
        </w:rPr>
      </w:pPr>
      <w:bookmarkStart w:id="1345" w:name="_Toc191729747"/>
      <w:bookmarkStart w:id="1346" w:name="_Toc208398739"/>
      <w:bookmarkStart w:id="1347" w:name="_Toc194389944"/>
      <w:bookmarkStart w:id="1348" w:name="_Toc191730031"/>
      <w:bookmarkStart w:id="1349" w:name="_Toc191728187"/>
      <w:r>
        <w:rPr>
          <w:color w:val="000000" w:themeColor="text1"/>
          <w:sz w:val="28"/>
        </w:rPr>
        <w:t>危险化学品重大危险源是指长期地或临时地生产、储存、使用和经营危险化学品，且危险化学品的数量等于或超过临界量的单元。</w:t>
      </w:r>
    </w:p>
    <w:p>
      <w:pPr>
        <w:spacing w:line="500" w:lineRule="exact"/>
        <w:ind w:firstLine="560" w:firstLineChars="200"/>
        <w:rPr>
          <w:color w:val="000000" w:themeColor="text1"/>
          <w:sz w:val="28"/>
        </w:rPr>
      </w:pPr>
      <w:r>
        <w:rPr>
          <w:color w:val="000000" w:themeColor="text1"/>
          <w:sz w:val="28"/>
        </w:rPr>
        <w:t>危险化学品重大危险源可分为生产单元危险化学品重大危险源和储存单元危险化学品重大危险源，生产单元是指危险化学品生产、加工及使用等的装置及设施，当装置及设施之间有切断阀时，以切断阀作为分隔界限划分为独立单元；储存单元是指用于储存危险化学品的储罐或仓库组成的相对独立的区域，储罐区以及罐区防火堤为界限划分为独立的单元，仓库以独立库房（独立建筑物）为界限划分为独立的单元。</w:t>
      </w:r>
    </w:p>
    <w:p>
      <w:pPr>
        <w:spacing w:line="500" w:lineRule="exact"/>
        <w:ind w:firstLine="560" w:firstLineChars="200"/>
        <w:rPr>
          <w:color w:val="000000" w:themeColor="text1"/>
          <w:sz w:val="28"/>
        </w:rPr>
      </w:pPr>
      <w:r>
        <w:rPr>
          <w:color w:val="000000" w:themeColor="text1"/>
          <w:sz w:val="28"/>
        </w:rPr>
        <w:t>危险化学品重大危险源的辨识依据是危险化学品的危险特性及数量，危险化学品储罐以及其它容器、设备或仓储区的危险化学品的实际存在量按设计最大量确定。生产单元、储存单元内存在危险化学品的数量等于或超过</w:t>
      </w:r>
      <w:r>
        <w:rPr>
          <w:color w:val="000000" w:themeColor="text1"/>
          <w:sz w:val="28"/>
          <w:szCs w:val="28"/>
        </w:rPr>
        <w:t>表1、表2（见</w:t>
      </w:r>
      <w:r>
        <w:rPr>
          <w:color w:val="000000" w:themeColor="text1"/>
          <w:kern w:val="3"/>
          <w:sz w:val="28"/>
          <w:szCs w:val="28"/>
        </w:rPr>
        <w:t>《</w:t>
      </w:r>
      <w:r>
        <w:rPr>
          <w:color w:val="000000" w:themeColor="text1"/>
          <w:sz w:val="28"/>
          <w:szCs w:val="28"/>
        </w:rPr>
        <w:t>危险化学品重大危险源辨识</w:t>
      </w:r>
      <w:r>
        <w:rPr>
          <w:color w:val="000000" w:themeColor="text1"/>
          <w:kern w:val="3"/>
          <w:sz w:val="28"/>
          <w:szCs w:val="28"/>
        </w:rPr>
        <w:t>》（</w:t>
      </w:r>
      <w:r>
        <w:rPr>
          <w:color w:val="000000" w:themeColor="text1"/>
          <w:sz w:val="28"/>
          <w:szCs w:val="28"/>
        </w:rPr>
        <w:t>GB18218-2018</w:t>
      </w:r>
      <w:r>
        <w:rPr>
          <w:color w:val="000000" w:themeColor="text1"/>
          <w:kern w:val="3"/>
          <w:sz w:val="28"/>
          <w:szCs w:val="28"/>
        </w:rPr>
        <w:t>）中表1、表2</w:t>
      </w:r>
      <w:r>
        <w:rPr>
          <w:color w:val="000000" w:themeColor="text1"/>
          <w:sz w:val="28"/>
          <w:szCs w:val="28"/>
        </w:rPr>
        <w:t>）</w:t>
      </w:r>
      <w:r>
        <w:rPr>
          <w:color w:val="000000" w:themeColor="text1"/>
          <w:sz w:val="28"/>
        </w:rPr>
        <w:t>规定的临界量，即被定为重大危险源。单元内存在的危险化学品的数量根据危险化学品种类的多少区分为以下两种情况：</w:t>
      </w:r>
    </w:p>
    <w:p>
      <w:pPr>
        <w:spacing w:line="500" w:lineRule="exact"/>
        <w:ind w:firstLine="560" w:firstLineChars="200"/>
        <w:rPr>
          <w:color w:val="000000" w:themeColor="text1"/>
          <w:sz w:val="28"/>
        </w:rPr>
      </w:pPr>
      <w:r>
        <w:rPr>
          <w:color w:val="000000" w:themeColor="text1"/>
          <w:sz w:val="28"/>
        </w:rPr>
        <w:t>1、生产单元、储存单元内存在的危险化学品为单一品种时，则该危险化学品的数量即为单元内危险化学品的总量，若等于或超过相应的临界量，则定为重大危险源。</w:t>
      </w:r>
    </w:p>
    <w:p>
      <w:pPr>
        <w:spacing w:line="500" w:lineRule="exact"/>
        <w:ind w:firstLine="560" w:firstLineChars="200"/>
        <w:rPr>
          <w:color w:val="000000" w:themeColor="text1"/>
          <w:sz w:val="28"/>
        </w:rPr>
      </w:pPr>
      <w:r>
        <w:rPr>
          <w:color w:val="000000" w:themeColor="text1"/>
          <w:sz w:val="28"/>
        </w:rPr>
        <w:t>2、生产单元、储存单元内存在的危险化学品为多品种时，则按下式计算，若满足下面公式，则定为重大危险源：</w:t>
      </w:r>
    </w:p>
    <w:p>
      <w:pPr>
        <w:spacing w:line="500" w:lineRule="exact"/>
        <w:ind w:firstLine="560" w:firstLineChars="200"/>
        <w:rPr>
          <w:color w:val="000000" w:themeColor="text1"/>
          <w:sz w:val="28"/>
        </w:rPr>
      </w:pPr>
      <w:r>
        <w:rPr>
          <w:color w:val="000000" w:themeColor="text1"/>
          <w:sz w:val="28"/>
        </w:rPr>
        <w:t>S=q</w:t>
      </w:r>
      <w:r>
        <w:rPr>
          <w:color w:val="000000" w:themeColor="text1"/>
          <w:sz w:val="28"/>
          <w:vertAlign w:val="subscript"/>
        </w:rPr>
        <w:t>1</w:t>
      </w:r>
      <w:r>
        <w:rPr>
          <w:color w:val="000000" w:themeColor="text1"/>
          <w:sz w:val="28"/>
        </w:rPr>
        <w:t>/Q</w:t>
      </w:r>
      <w:r>
        <w:rPr>
          <w:color w:val="000000" w:themeColor="text1"/>
          <w:sz w:val="28"/>
          <w:vertAlign w:val="subscript"/>
        </w:rPr>
        <w:t>1</w:t>
      </w:r>
      <w:r>
        <w:rPr>
          <w:color w:val="000000" w:themeColor="text1"/>
          <w:sz w:val="28"/>
        </w:rPr>
        <w:t>+q</w:t>
      </w:r>
      <w:r>
        <w:rPr>
          <w:rFonts w:hint="eastAsia"/>
          <w:color w:val="000000" w:themeColor="text1"/>
          <w:sz w:val="28"/>
          <w:vertAlign w:val="subscript"/>
        </w:rPr>
        <w:t>2</w:t>
      </w:r>
      <w:r>
        <w:rPr>
          <w:color w:val="000000" w:themeColor="text1"/>
          <w:sz w:val="28"/>
        </w:rPr>
        <w:t>/Q</w:t>
      </w:r>
      <w:r>
        <w:rPr>
          <w:color w:val="000000" w:themeColor="text1"/>
          <w:sz w:val="28"/>
          <w:vertAlign w:val="subscript"/>
        </w:rPr>
        <w:t>2</w:t>
      </w:r>
      <w:r>
        <w:rPr>
          <w:color w:val="000000" w:themeColor="text1"/>
          <w:sz w:val="28"/>
        </w:rPr>
        <w:t>+……+qn/Qn≥1</w:t>
      </w:r>
    </w:p>
    <w:p>
      <w:pPr>
        <w:spacing w:line="500" w:lineRule="exact"/>
        <w:ind w:firstLine="560" w:firstLineChars="200"/>
        <w:rPr>
          <w:color w:val="000000" w:themeColor="text1"/>
          <w:sz w:val="28"/>
        </w:rPr>
      </w:pPr>
      <w:r>
        <w:rPr>
          <w:color w:val="000000" w:themeColor="text1"/>
          <w:sz w:val="28"/>
        </w:rPr>
        <w:t>式中：S—辨识指标；</w:t>
      </w:r>
    </w:p>
    <w:p>
      <w:pPr>
        <w:spacing w:line="500" w:lineRule="exact"/>
        <w:ind w:firstLine="1400" w:firstLineChars="500"/>
        <w:rPr>
          <w:color w:val="000000" w:themeColor="text1"/>
          <w:sz w:val="28"/>
        </w:rPr>
      </w:pPr>
      <w:r>
        <w:rPr>
          <w:color w:val="000000" w:themeColor="text1"/>
          <w:sz w:val="28"/>
        </w:rPr>
        <w:t>q</w:t>
      </w:r>
      <w:r>
        <w:rPr>
          <w:color w:val="000000" w:themeColor="text1"/>
          <w:sz w:val="28"/>
          <w:vertAlign w:val="subscript"/>
        </w:rPr>
        <w:t>1</w:t>
      </w:r>
      <w:r>
        <w:rPr>
          <w:color w:val="000000" w:themeColor="text1"/>
          <w:sz w:val="28"/>
        </w:rPr>
        <w:t>，q</w:t>
      </w:r>
      <w:r>
        <w:rPr>
          <w:color w:val="000000" w:themeColor="text1"/>
          <w:sz w:val="28"/>
          <w:vertAlign w:val="subscript"/>
        </w:rPr>
        <w:t>2</w:t>
      </w:r>
      <w:r>
        <w:rPr>
          <w:color w:val="000000" w:themeColor="text1"/>
          <w:sz w:val="28"/>
        </w:rPr>
        <w:t>……q</w:t>
      </w:r>
      <w:r>
        <w:rPr>
          <w:color w:val="000000" w:themeColor="text1"/>
          <w:sz w:val="28"/>
          <w:vertAlign w:val="subscript"/>
        </w:rPr>
        <w:t>n</w:t>
      </w:r>
      <w:r>
        <w:rPr>
          <w:color w:val="000000" w:themeColor="text1"/>
          <w:sz w:val="28"/>
        </w:rPr>
        <w:t>—每种危险化学品实际存在量，t。</w:t>
      </w:r>
    </w:p>
    <w:p>
      <w:pPr>
        <w:spacing w:line="500" w:lineRule="exact"/>
        <w:ind w:firstLine="1400" w:firstLineChars="500"/>
        <w:rPr>
          <w:color w:val="000000" w:themeColor="text1"/>
          <w:sz w:val="28"/>
        </w:rPr>
      </w:pPr>
      <w:r>
        <w:rPr>
          <w:color w:val="000000" w:themeColor="text1"/>
          <w:sz w:val="28"/>
        </w:rPr>
        <w:t>Q</w:t>
      </w:r>
      <w:r>
        <w:rPr>
          <w:color w:val="000000" w:themeColor="text1"/>
          <w:sz w:val="28"/>
          <w:vertAlign w:val="subscript"/>
        </w:rPr>
        <w:t>1</w:t>
      </w:r>
      <w:r>
        <w:rPr>
          <w:color w:val="000000" w:themeColor="text1"/>
          <w:sz w:val="28"/>
        </w:rPr>
        <w:t>，Q</w:t>
      </w:r>
      <w:r>
        <w:rPr>
          <w:color w:val="000000" w:themeColor="text1"/>
          <w:sz w:val="28"/>
          <w:vertAlign w:val="subscript"/>
        </w:rPr>
        <w:t>2</w:t>
      </w:r>
      <w:r>
        <w:rPr>
          <w:color w:val="000000" w:themeColor="text1"/>
          <w:sz w:val="28"/>
        </w:rPr>
        <w:t>……Qn—与每种危险化学品相对应的临界量，t。</w:t>
      </w:r>
    </w:p>
    <w:p>
      <w:pPr>
        <w:pStyle w:val="19"/>
        <w:spacing w:afterLines="100" w:line="500" w:lineRule="exact"/>
        <w:rPr>
          <w:rFonts w:ascii="黑体" w:hAnsi="宋体" w:eastAsia="黑体"/>
          <w:color w:val="000000" w:themeColor="text1"/>
          <w:kern w:val="3"/>
          <w:sz w:val="28"/>
          <w:szCs w:val="28"/>
        </w:rPr>
      </w:pPr>
      <w:bookmarkStart w:id="1350" w:name="_Toc31330"/>
      <w:bookmarkStart w:id="1351" w:name="_Toc23666"/>
      <w:bookmarkStart w:id="1352" w:name="_Toc3326"/>
      <w:bookmarkStart w:id="1353" w:name="_Toc5016"/>
      <w:r>
        <w:rPr>
          <w:rFonts w:hint="eastAsia" w:ascii="黑体" w:hAnsi="宋体" w:eastAsia="黑体"/>
          <w:color w:val="000000" w:themeColor="text1"/>
          <w:kern w:val="3"/>
          <w:sz w:val="28"/>
          <w:szCs w:val="28"/>
        </w:rPr>
        <w:t>3.8.2 重大危险源辨识过程</w:t>
      </w:r>
      <w:bookmarkEnd w:id="1350"/>
      <w:bookmarkEnd w:id="1351"/>
      <w:bookmarkEnd w:id="1352"/>
      <w:bookmarkEnd w:id="1353"/>
    </w:p>
    <w:p>
      <w:pPr>
        <w:adjustRightInd w:val="0"/>
        <w:snapToGrid w:val="0"/>
        <w:spacing w:line="500" w:lineRule="exact"/>
        <w:ind w:firstLine="560" w:firstLineChars="200"/>
        <w:rPr>
          <w:color w:val="000000" w:themeColor="text1"/>
          <w:sz w:val="28"/>
          <w:szCs w:val="28"/>
        </w:rPr>
      </w:pPr>
      <w:r>
        <w:rPr>
          <w:color w:val="000000" w:themeColor="text1"/>
          <w:sz w:val="28"/>
          <w:szCs w:val="28"/>
        </w:rPr>
        <w:t>根据该公司各储存区的实际情况，将甲醇储罐区划分为一个单元进行重大危险源辨识。该公司经营储存过程中涉及的危险化学品只有甲醇。根据《危险化学品重大危险源辨识》（GB18218-</w:t>
      </w:r>
      <w:r>
        <w:rPr>
          <w:rFonts w:hint="eastAsia"/>
          <w:color w:val="000000" w:themeColor="text1"/>
          <w:sz w:val="28"/>
          <w:szCs w:val="28"/>
        </w:rPr>
        <w:t>2018</w:t>
      </w:r>
      <w:r>
        <w:rPr>
          <w:color w:val="000000" w:themeColor="text1"/>
          <w:sz w:val="28"/>
          <w:szCs w:val="28"/>
        </w:rPr>
        <w:t>）中的规定：甲醇的临界量为500t。公司甲醇储罐设计容量为</w:t>
      </w:r>
      <w:r>
        <w:rPr>
          <w:rFonts w:hint="eastAsia"/>
          <w:color w:val="000000" w:themeColor="text1"/>
          <w:sz w:val="28"/>
          <w:szCs w:val="28"/>
        </w:rPr>
        <w:t>8</w:t>
      </w:r>
      <w:r>
        <w:rPr>
          <w:color w:val="000000" w:themeColor="text1"/>
          <w:sz w:val="28"/>
          <w:szCs w:val="28"/>
        </w:rPr>
        <w:t>0m</w:t>
      </w:r>
      <w:r>
        <w:rPr>
          <w:color w:val="000000" w:themeColor="text1"/>
          <w:sz w:val="28"/>
          <w:szCs w:val="28"/>
          <w:vertAlign w:val="superscript"/>
        </w:rPr>
        <w:t>3</w:t>
      </w:r>
      <w:r>
        <w:rPr>
          <w:color w:val="000000" w:themeColor="text1"/>
          <w:sz w:val="28"/>
          <w:szCs w:val="28"/>
        </w:rPr>
        <w:t>，所以最大储量约</w:t>
      </w:r>
      <w:r>
        <w:rPr>
          <w:rFonts w:hint="eastAsia"/>
          <w:color w:val="000000" w:themeColor="text1"/>
          <w:sz w:val="28"/>
          <w:szCs w:val="28"/>
        </w:rPr>
        <w:t>63.2</w:t>
      </w:r>
      <w:r>
        <w:rPr>
          <w:color w:val="000000" w:themeColor="text1"/>
          <w:sz w:val="28"/>
          <w:szCs w:val="28"/>
        </w:rPr>
        <w:t>3吨。</w:t>
      </w:r>
    </w:p>
    <w:p>
      <w:pPr>
        <w:spacing w:line="500" w:lineRule="exact"/>
        <w:ind w:firstLine="560" w:firstLineChars="200"/>
        <w:rPr>
          <w:rFonts w:eastAsia="黑体"/>
          <w:b/>
          <w:bCs/>
          <w:snapToGrid w:val="0"/>
          <w:color w:val="000000" w:themeColor="text1"/>
          <w:kern w:val="0"/>
          <w:sz w:val="32"/>
          <w:szCs w:val="32"/>
        </w:rPr>
      </w:pPr>
      <w:r>
        <w:rPr>
          <w:color w:val="000000" w:themeColor="text1"/>
          <w:sz w:val="28"/>
        </w:rPr>
        <w:t>S=q</w:t>
      </w:r>
      <w:r>
        <w:rPr>
          <w:color w:val="000000" w:themeColor="text1"/>
          <w:sz w:val="28"/>
          <w:vertAlign w:val="subscript"/>
        </w:rPr>
        <w:t>1</w:t>
      </w:r>
      <w:r>
        <w:rPr>
          <w:color w:val="000000" w:themeColor="text1"/>
          <w:sz w:val="28"/>
        </w:rPr>
        <w:t>/Q</w:t>
      </w:r>
      <w:r>
        <w:rPr>
          <w:color w:val="000000" w:themeColor="text1"/>
          <w:sz w:val="28"/>
          <w:vertAlign w:val="subscript"/>
        </w:rPr>
        <w:t>1</w:t>
      </w:r>
      <w:r>
        <w:rPr>
          <w:color w:val="000000" w:themeColor="text1"/>
          <w:sz w:val="28"/>
        </w:rPr>
        <w:t>=</w:t>
      </w:r>
      <w:r>
        <w:rPr>
          <w:rFonts w:hint="eastAsia"/>
          <w:color w:val="000000" w:themeColor="text1"/>
          <w:sz w:val="28"/>
        </w:rPr>
        <w:t>63.2</w:t>
      </w:r>
      <w:r>
        <w:rPr>
          <w:color w:val="000000" w:themeColor="text1"/>
          <w:sz w:val="28"/>
        </w:rPr>
        <w:t>t/500t=0.</w:t>
      </w:r>
      <w:r>
        <w:rPr>
          <w:rFonts w:hint="eastAsia"/>
          <w:color w:val="000000" w:themeColor="text1"/>
          <w:sz w:val="28"/>
        </w:rPr>
        <w:t>126</w:t>
      </w:r>
      <w:r>
        <w:rPr>
          <w:color w:val="000000" w:themeColor="text1"/>
          <w:sz w:val="28"/>
        </w:rPr>
        <w:t>&lt;1，因此不构成重大危险源。</w:t>
      </w:r>
    </w:p>
    <w:p>
      <w:pPr>
        <w:pStyle w:val="19"/>
        <w:spacing w:afterLines="100" w:line="500" w:lineRule="exact"/>
        <w:rPr>
          <w:rFonts w:ascii="黑体" w:hAnsi="宋体" w:eastAsia="黑体"/>
          <w:color w:val="000000" w:themeColor="text1"/>
          <w:kern w:val="3"/>
          <w:sz w:val="28"/>
          <w:szCs w:val="28"/>
        </w:rPr>
      </w:pPr>
      <w:bookmarkStart w:id="1354" w:name="_Toc13030"/>
      <w:bookmarkStart w:id="1355" w:name="_Toc286493605"/>
      <w:bookmarkStart w:id="1356" w:name="_Toc345765782"/>
      <w:bookmarkStart w:id="1357" w:name="_Toc11947"/>
      <w:bookmarkStart w:id="1358" w:name="_Toc12838"/>
      <w:bookmarkStart w:id="1359" w:name="_Toc17103"/>
      <w:bookmarkStart w:id="1360" w:name="_Toc18304"/>
      <w:bookmarkStart w:id="1361" w:name="_Toc9912"/>
      <w:bookmarkStart w:id="1362" w:name="_Toc15489"/>
      <w:bookmarkStart w:id="1363" w:name="_Toc14952"/>
      <w:bookmarkStart w:id="1364" w:name="_Toc32038"/>
      <w:bookmarkStart w:id="1365" w:name="_Toc2205"/>
      <w:bookmarkStart w:id="1366" w:name="_Toc20826"/>
      <w:r>
        <w:rPr>
          <w:rFonts w:hint="eastAsia" w:ascii="黑体" w:hAnsi="宋体" w:eastAsia="黑体"/>
          <w:color w:val="000000" w:themeColor="text1"/>
          <w:kern w:val="3"/>
          <w:sz w:val="28"/>
          <w:szCs w:val="28"/>
        </w:rPr>
        <w:t>3.8.3重大危险源辨识</w:t>
      </w:r>
      <w:bookmarkEnd w:id="1345"/>
      <w:bookmarkEnd w:id="1346"/>
      <w:bookmarkEnd w:id="1347"/>
      <w:bookmarkEnd w:id="1348"/>
      <w:bookmarkEnd w:id="1349"/>
      <w:bookmarkEnd w:id="1354"/>
      <w:bookmarkEnd w:id="1355"/>
      <w:bookmarkEnd w:id="1356"/>
      <w:r>
        <w:rPr>
          <w:rFonts w:hint="eastAsia" w:ascii="黑体" w:hAnsi="宋体" w:eastAsia="黑体"/>
          <w:color w:val="000000" w:themeColor="text1"/>
          <w:kern w:val="3"/>
          <w:sz w:val="28"/>
          <w:szCs w:val="28"/>
        </w:rPr>
        <w:t>结果</w:t>
      </w:r>
      <w:bookmarkEnd w:id="1357"/>
      <w:bookmarkEnd w:id="1358"/>
      <w:bookmarkEnd w:id="1359"/>
      <w:bookmarkEnd w:id="1360"/>
      <w:bookmarkEnd w:id="1361"/>
      <w:bookmarkEnd w:id="1362"/>
      <w:bookmarkEnd w:id="1363"/>
      <w:bookmarkEnd w:id="1364"/>
      <w:bookmarkEnd w:id="1365"/>
      <w:bookmarkEnd w:id="1366"/>
    </w:p>
    <w:p>
      <w:pPr>
        <w:spacing w:line="500" w:lineRule="exact"/>
        <w:ind w:firstLine="560" w:firstLineChars="200"/>
        <w:rPr>
          <w:color w:val="000000" w:themeColor="text1"/>
          <w:kern w:val="0"/>
          <w:sz w:val="28"/>
          <w:szCs w:val="28"/>
        </w:rPr>
      </w:pPr>
      <w:bookmarkStart w:id="1367" w:name="_Toc28730"/>
      <w:bookmarkStart w:id="1368" w:name="_Toc65402827"/>
      <w:bookmarkStart w:id="1369" w:name="_Toc67207613"/>
      <w:bookmarkStart w:id="1370" w:name="_Toc83198743"/>
      <w:bookmarkStart w:id="1371" w:name="_Toc65405766"/>
      <w:bookmarkStart w:id="1372" w:name="_Toc191729738"/>
      <w:bookmarkStart w:id="1373" w:name="_Toc101443039"/>
      <w:bookmarkStart w:id="1374" w:name="_Toc64780997"/>
      <w:bookmarkStart w:id="1375" w:name="_Toc208398736"/>
      <w:bookmarkStart w:id="1376" w:name="_Toc81898525"/>
      <w:bookmarkStart w:id="1377" w:name="_Toc191728178"/>
      <w:bookmarkStart w:id="1378" w:name="_Toc64879179"/>
      <w:bookmarkStart w:id="1379" w:name="_Toc194389941"/>
      <w:bookmarkStart w:id="1380" w:name="_Toc66067408"/>
      <w:bookmarkStart w:id="1381" w:name="_Toc89097954"/>
      <w:r>
        <w:rPr>
          <w:color w:val="000000" w:themeColor="text1"/>
          <w:kern w:val="0"/>
          <w:sz w:val="28"/>
          <w:szCs w:val="20"/>
        </w:rPr>
        <w:t>由以上辨识可知：</w:t>
      </w:r>
      <w:r>
        <w:rPr>
          <w:color w:val="000000" w:themeColor="text1"/>
          <w:sz w:val="28"/>
        </w:rPr>
        <w:t>根据《危险化学品重大危险源辨识》（GB18218-2018）辨识，</w:t>
      </w:r>
      <w:r>
        <w:rPr>
          <w:color w:val="000000" w:themeColor="text1"/>
          <w:kern w:val="0"/>
          <w:sz w:val="28"/>
          <w:szCs w:val="28"/>
        </w:rPr>
        <w:t>该项目不构成危险化学品重大危险源。</w:t>
      </w:r>
    </w:p>
    <w:p>
      <w:pPr>
        <w:pStyle w:val="19"/>
        <w:spacing w:afterLines="100" w:line="500" w:lineRule="exact"/>
        <w:jc w:val="center"/>
        <w:rPr>
          <w:rFonts w:ascii="楷体_GB2312" w:hAnsi="宋体" w:eastAsia="楷体_GB2312"/>
          <w:color w:val="000000" w:themeColor="text1"/>
          <w:kern w:val="3"/>
        </w:rPr>
      </w:pPr>
      <w:bookmarkStart w:id="1382" w:name="_Toc16956"/>
      <w:bookmarkStart w:id="1383" w:name="_Toc24712"/>
      <w:bookmarkStart w:id="1384" w:name="_Toc2401"/>
      <w:bookmarkStart w:id="1385" w:name="_Toc4047"/>
      <w:bookmarkStart w:id="1386" w:name="_Toc14614"/>
      <w:bookmarkStart w:id="1387" w:name="_Toc14382"/>
      <w:bookmarkStart w:id="1388" w:name="_Toc20622"/>
      <w:bookmarkStart w:id="1389" w:name="_Toc17581"/>
      <w:bookmarkStart w:id="1390" w:name="_Toc11374"/>
      <w:bookmarkStart w:id="1391" w:name="_Toc10606"/>
      <w:bookmarkStart w:id="1392" w:name="_Toc6927"/>
      <w:bookmarkStart w:id="1393" w:name="_Toc13223"/>
      <w:bookmarkStart w:id="1394" w:name="_Toc19219"/>
      <w:bookmarkStart w:id="1395" w:name="_Toc8232"/>
      <w:bookmarkStart w:id="1396" w:name="_Toc6367"/>
      <w:bookmarkStart w:id="1397" w:name="_Toc17971_WPSOffice_Level2"/>
      <w:r>
        <w:rPr>
          <w:rFonts w:hint="eastAsia" w:ascii="楷体_GB2312" w:hAnsi="宋体" w:eastAsia="楷体_GB2312"/>
          <w:color w:val="000000" w:themeColor="text1"/>
          <w:kern w:val="3"/>
        </w:rPr>
        <w:t>3.9事故案例分析</w:t>
      </w:r>
      <w:bookmarkEnd w:id="1367"/>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pPr>
        <w:pStyle w:val="19"/>
        <w:spacing w:afterLines="100" w:line="500" w:lineRule="exact"/>
        <w:rPr>
          <w:rFonts w:ascii="黑体" w:hAnsi="宋体" w:eastAsia="黑体"/>
          <w:color w:val="000000" w:themeColor="text1"/>
          <w:kern w:val="3"/>
          <w:sz w:val="28"/>
          <w:szCs w:val="28"/>
        </w:rPr>
      </w:pPr>
      <w:bookmarkStart w:id="1398" w:name="_Toc8953"/>
      <w:bookmarkStart w:id="1399" w:name="_Toc4268"/>
      <w:bookmarkStart w:id="1400" w:name="_Toc31261"/>
      <w:bookmarkStart w:id="1401" w:name="_Toc15000"/>
      <w:bookmarkStart w:id="1402" w:name="_Toc15580"/>
      <w:bookmarkStart w:id="1403" w:name="_Toc12243"/>
      <w:bookmarkStart w:id="1404" w:name="_Toc17801"/>
      <w:bookmarkStart w:id="1405" w:name="_Toc7490"/>
      <w:bookmarkStart w:id="1406" w:name="_Toc9256"/>
      <w:bookmarkStart w:id="1407" w:name="_Toc15578"/>
      <w:r>
        <w:rPr>
          <w:rFonts w:hint="eastAsia" w:ascii="黑体" w:hAnsi="宋体" w:eastAsia="黑体"/>
          <w:color w:val="000000" w:themeColor="text1"/>
          <w:kern w:val="3"/>
          <w:sz w:val="28"/>
          <w:szCs w:val="28"/>
        </w:rPr>
        <w:t>3.9.1甲醇储罐火灾事故案例</w:t>
      </w:r>
      <w:bookmarkEnd w:id="1398"/>
      <w:bookmarkEnd w:id="1399"/>
      <w:bookmarkEnd w:id="1400"/>
      <w:bookmarkEnd w:id="1401"/>
      <w:bookmarkEnd w:id="1402"/>
      <w:bookmarkEnd w:id="1403"/>
      <w:bookmarkEnd w:id="1404"/>
      <w:bookmarkEnd w:id="1405"/>
      <w:bookmarkEnd w:id="1406"/>
      <w:bookmarkEnd w:id="1407"/>
    </w:p>
    <w:p>
      <w:pPr>
        <w:snapToGrid w:val="0"/>
        <w:spacing w:line="500" w:lineRule="exact"/>
        <w:ind w:firstLine="562" w:firstLineChars="200"/>
        <w:rPr>
          <w:rFonts w:eastAsiaTheme="minorEastAsia"/>
          <w:b/>
          <w:snapToGrid w:val="0"/>
          <w:color w:val="000000" w:themeColor="text1"/>
          <w:sz w:val="28"/>
          <w:szCs w:val="28"/>
        </w:rPr>
      </w:pPr>
      <w:bookmarkStart w:id="1408" w:name="_Toc7889"/>
      <w:r>
        <w:rPr>
          <w:rFonts w:eastAsiaTheme="minorEastAsia"/>
          <w:b/>
          <w:snapToGrid w:val="0"/>
          <w:color w:val="000000" w:themeColor="text1"/>
          <w:sz w:val="28"/>
          <w:szCs w:val="28"/>
        </w:rPr>
        <w:t>1</w:t>
      </w:r>
      <w:r>
        <w:rPr>
          <w:rFonts w:hint="eastAsia" w:eastAsiaTheme="minorEastAsia"/>
          <w:b/>
          <w:snapToGrid w:val="0"/>
          <w:color w:val="000000" w:themeColor="text1"/>
          <w:sz w:val="28"/>
          <w:szCs w:val="28"/>
        </w:rPr>
        <w:t>.</w:t>
      </w:r>
      <w:r>
        <w:rPr>
          <w:rFonts w:eastAsiaTheme="minorEastAsia"/>
          <w:b/>
          <w:snapToGrid w:val="0"/>
          <w:color w:val="000000" w:themeColor="text1"/>
          <w:sz w:val="28"/>
          <w:szCs w:val="28"/>
        </w:rPr>
        <w:t>事故概况</w:t>
      </w:r>
      <w:bookmarkEnd w:id="1408"/>
    </w:p>
    <w:p>
      <w:pPr>
        <w:snapToGrid w:val="0"/>
        <w:spacing w:line="500" w:lineRule="exact"/>
        <w:ind w:firstLine="560" w:firstLineChars="200"/>
        <w:rPr>
          <w:rFonts w:eastAsiaTheme="minorEastAsia"/>
          <w:snapToGrid w:val="0"/>
          <w:color w:val="000000" w:themeColor="text1"/>
          <w:sz w:val="28"/>
          <w:szCs w:val="28"/>
        </w:rPr>
      </w:pPr>
      <w:r>
        <w:rPr>
          <w:rFonts w:eastAsiaTheme="minorEastAsia"/>
          <w:snapToGrid w:val="0"/>
          <w:color w:val="000000" w:themeColor="text1"/>
          <w:sz w:val="28"/>
          <w:szCs w:val="28"/>
        </w:rPr>
        <w:t>2008年8月2日，贵州兴化化工有限责任公司甲醇储罐发生爆炸燃烧事故，事故造成在现场的施工人员3人死亡，2人受伤(其中1人严重烧伤)，6个储罐被摧毁。事故发生后，黔西南州、兴义市政府及相关部门立即开展事故应急救援工作，控制了事故的进一步蔓延。据当地环保部门监测，事故未对环境造成景响，但该事故发生在奥运前夕，影响十分恶劣。</w:t>
      </w:r>
    </w:p>
    <w:p>
      <w:pPr>
        <w:snapToGrid w:val="0"/>
        <w:spacing w:line="500" w:lineRule="exact"/>
        <w:ind w:firstLine="562" w:firstLineChars="200"/>
        <w:rPr>
          <w:rFonts w:eastAsiaTheme="minorEastAsia"/>
          <w:b/>
          <w:snapToGrid w:val="0"/>
          <w:color w:val="000000" w:themeColor="text1"/>
          <w:sz w:val="28"/>
          <w:szCs w:val="28"/>
        </w:rPr>
      </w:pPr>
      <w:bookmarkStart w:id="1409" w:name="_Toc26391"/>
      <w:r>
        <w:rPr>
          <w:rFonts w:eastAsiaTheme="minorEastAsia"/>
          <w:b/>
          <w:snapToGrid w:val="0"/>
          <w:color w:val="000000" w:themeColor="text1"/>
          <w:sz w:val="28"/>
          <w:szCs w:val="28"/>
        </w:rPr>
        <w:t>2</w:t>
      </w:r>
      <w:r>
        <w:rPr>
          <w:rFonts w:hint="eastAsia" w:eastAsiaTheme="minorEastAsia"/>
          <w:b/>
          <w:snapToGrid w:val="0"/>
          <w:color w:val="000000" w:themeColor="text1"/>
          <w:sz w:val="28"/>
          <w:szCs w:val="28"/>
        </w:rPr>
        <w:t>.</w:t>
      </w:r>
      <w:r>
        <w:rPr>
          <w:rFonts w:eastAsiaTheme="minorEastAsia"/>
          <w:b/>
          <w:snapToGrid w:val="0"/>
          <w:color w:val="000000" w:themeColor="text1"/>
          <w:sz w:val="28"/>
          <w:szCs w:val="28"/>
        </w:rPr>
        <w:t>事故原因</w:t>
      </w:r>
      <w:bookmarkEnd w:id="1409"/>
    </w:p>
    <w:p>
      <w:pPr>
        <w:snapToGrid w:val="0"/>
        <w:spacing w:line="500" w:lineRule="exact"/>
        <w:ind w:firstLine="560" w:firstLineChars="200"/>
        <w:rPr>
          <w:rFonts w:eastAsiaTheme="minorEastAsia"/>
          <w:snapToGrid w:val="0"/>
          <w:color w:val="000000" w:themeColor="text1"/>
          <w:sz w:val="28"/>
          <w:szCs w:val="28"/>
        </w:rPr>
      </w:pPr>
      <w:r>
        <w:rPr>
          <w:rFonts w:eastAsiaTheme="minorEastAsia"/>
          <w:snapToGrid w:val="0"/>
          <w:color w:val="000000" w:themeColor="text1"/>
          <w:sz w:val="28"/>
          <w:szCs w:val="28"/>
        </w:rPr>
        <w:t>(1)施工单位缺乏化工安全的基本知识，施工中严重违规违章作业。施工人员在未对储罐进行必要的安全处置的情况下，违规将精甲醇C罐顶部备用短接打开与二氧化碳管道进行连接配管，造成罐体内部通过管道与大气直接连通。同时又严重违规违章在罐旁进行电焊等动火作业，没有严格履行安全操作规程和动火作业审批程序，最终引发事故。</w:t>
      </w:r>
    </w:p>
    <w:p>
      <w:pPr>
        <w:snapToGrid w:val="0"/>
        <w:spacing w:line="500" w:lineRule="exact"/>
        <w:ind w:firstLine="560" w:firstLineChars="200"/>
        <w:rPr>
          <w:rFonts w:eastAsiaTheme="minorEastAsia"/>
          <w:snapToGrid w:val="0"/>
          <w:color w:val="000000" w:themeColor="text1"/>
          <w:sz w:val="28"/>
          <w:szCs w:val="28"/>
        </w:rPr>
      </w:pPr>
      <w:r>
        <w:rPr>
          <w:rFonts w:eastAsiaTheme="minorEastAsia"/>
          <w:snapToGrid w:val="0"/>
          <w:color w:val="000000" w:themeColor="text1"/>
          <w:sz w:val="28"/>
          <w:szCs w:val="28"/>
        </w:rPr>
        <w:t>(2)企业安全生产主体责任不落实。对施工作业管理不到位，在施工单位资质已过期的情况下，企业仍委托其进行施工作业;对外来施工单位的管理、监督不到位，现场管理混乱，生产、施工交叉作业没有统一的指挥、协调，危险区域内的施工作业现场无任何安全措施，管理人员和操作人员对施工单位的违规违章行为熟视无睹，未及时制正、纠正;对外来施工单位的培训教育不到位，施工人员不清楚作业场所危害的基本安全知识。</w:t>
      </w:r>
      <w:r>
        <w:rPr>
          <w:rFonts w:eastAsiaTheme="minorEastAsia"/>
          <w:snapToGrid w:val="0"/>
          <w:color w:val="000000" w:themeColor="text1"/>
          <w:sz w:val="28"/>
          <w:szCs w:val="28"/>
        </w:rPr>
        <w:br w:type="textWrapping"/>
      </w:r>
      <w:r>
        <w:rPr>
          <w:rFonts w:eastAsiaTheme="minorEastAsia"/>
          <w:snapToGrid w:val="0"/>
          <w:color w:val="000000" w:themeColor="text1"/>
          <w:sz w:val="28"/>
          <w:szCs w:val="28"/>
        </w:rPr>
        <w:t xml:space="preserve">    (3)地方安全生产监管部门的监管工作有待加强。虽然经过百日安全督查，安全生产监管部门对企业存在的管理混乱、严重违规违章等行为未能及时发现、处理。地方安监部门应加强监管，将各项监管措施落实到位。</w:t>
      </w:r>
    </w:p>
    <w:p>
      <w:pPr>
        <w:snapToGrid w:val="0"/>
        <w:spacing w:line="500" w:lineRule="exact"/>
        <w:ind w:firstLine="562" w:firstLineChars="200"/>
        <w:rPr>
          <w:rFonts w:eastAsiaTheme="minorEastAsia"/>
          <w:b/>
          <w:snapToGrid w:val="0"/>
          <w:color w:val="000000" w:themeColor="text1"/>
          <w:sz w:val="28"/>
          <w:szCs w:val="28"/>
        </w:rPr>
      </w:pPr>
      <w:bookmarkStart w:id="1410" w:name="_Toc2055"/>
      <w:r>
        <w:rPr>
          <w:rFonts w:eastAsiaTheme="minorEastAsia"/>
          <w:b/>
          <w:snapToGrid w:val="0"/>
          <w:color w:val="000000" w:themeColor="text1"/>
          <w:sz w:val="28"/>
          <w:szCs w:val="28"/>
        </w:rPr>
        <w:t>3</w:t>
      </w:r>
      <w:r>
        <w:rPr>
          <w:rFonts w:hint="eastAsia" w:eastAsiaTheme="minorEastAsia"/>
          <w:b/>
          <w:snapToGrid w:val="0"/>
          <w:color w:val="000000" w:themeColor="text1"/>
          <w:sz w:val="28"/>
          <w:szCs w:val="28"/>
        </w:rPr>
        <w:t>.</w:t>
      </w:r>
      <w:r>
        <w:rPr>
          <w:rFonts w:eastAsiaTheme="minorEastAsia"/>
          <w:b/>
          <w:snapToGrid w:val="0"/>
          <w:color w:val="000000" w:themeColor="text1"/>
          <w:sz w:val="28"/>
          <w:szCs w:val="28"/>
        </w:rPr>
        <w:t>事故教训</w:t>
      </w:r>
      <w:bookmarkEnd w:id="1410"/>
    </w:p>
    <w:p>
      <w:pPr>
        <w:snapToGrid w:val="0"/>
        <w:spacing w:line="500" w:lineRule="exact"/>
        <w:ind w:firstLine="560" w:firstLineChars="200"/>
        <w:rPr>
          <w:rFonts w:eastAsiaTheme="minorEastAsia"/>
          <w:snapToGrid w:val="0"/>
          <w:color w:val="000000" w:themeColor="text1"/>
          <w:sz w:val="28"/>
          <w:szCs w:val="28"/>
        </w:rPr>
      </w:pPr>
      <w:r>
        <w:rPr>
          <w:rFonts w:eastAsiaTheme="minorEastAsia"/>
          <w:snapToGrid w:val="0"/>
          <w:color w:val="000000" w:themeColor="text1"/>
          <w:sz w:val="28"/>
          <w:szCs w:val="28"/>
        </w:rPr>
        <w:t>(1)切实加强对危险化学品生产、储存场所施工作业的安全监管，对施工单位资质不符合要求、作业现场安全措施不到位、作业人员不清楚作业现场危害以及存在严重违规违章行为的施工作业要立即责令立即停工整顿并进行处罚。</w:t>
      </w:r>
    </w:p>
    <w:p>
      <w:pPr>
        <w:snapToGrid w:val="0"/>
        <w:spacing w:line="500" w:lineRule="exact"/>
        <w:ind w:firstLine="560" w:firstLineChars="200"/>
        <w:rPr>
          <w:rFonts w:eastAsiaTheme="minorEastAsia"/>
          <w:snapToGrid w:val="0"/>
          <w:color w:val="000000" w:themeColor="text1"/>
          <w:sz w:val="28"/>
          <w:szCs w:val="28"/>
        </w:rPr>
      </w:pPr>
      <w:r>
        <w:rPr>
          <w:rFonts w:eastAsiaTheme="minorEastAsia"/>
          <w:snapToGrid w:val="0"/>
          <w:color w:val="000000" w:themeColor="text1"/>
          <w:sz w:val="28"/>
          <w:szCs w:val="28"/>
        </w:rPr>
        <w:t>(2)督促、监督企业加强对外来施工单位的管理，确保企业对外来施工单位的教育培训到位;危险区域施工现场的管理、监督到位;交叉作业的统一管理到位;动火、入罐、进入受限空间作业等危险作业的票证管理制度落实到位;危险区域施工作业的各项安全措旅落实到位。对管理措施不到位的企业，要责令停止建设，并给予处罚。</w:t>
      </w:r>
    </w:p>
    <w:p>
      <w:pPr>
        <w:snapToGrid w:val="0"/>
        <w:spacing w:line="500" w:lineRule="exact"/>
        <w:ind w:firstLine="560" w:firstLineChars="200"/>
        <w:rPr>
          <w:rFonts w:eastAsiaTheme="minorEastAsia"/>
          <w:snapToGrid w:val="0"/>
          <w:color w:val="000000" w:themeColor="text1"/>
          <w:sz w:val="28"/>
          <w:szCs w:val="28"/>
        </w:rPr>
      </w:pPr>
      <w:r>
        <w:rPr>
          <w:rFonts w:eastAsiaTheme="minorEastAsia"/>
          <w:snapToGrid w:val="0"/>
          <w:color w:val="000000" w:themeColor="text1"/>
          <w:sz w:val="28"/>
          <w:szCs w:val="28"/>
        </w:rPr>
        <w:t>(3)各地要立即将本通报转发辖区内危险化学品从业单位和各级监管部门，督促企业认真吸取事故教训，组织企业立即开展全面的自查自纠，对自查自纠工作不落实、走过场的企业，要加大处罚力度，切实消除安全隐患。</w:t>
      </w:r>
    </w:p>
    <w:p>
      <w:pPr>
        <w:snapToGrid w:val="0"/>
        <w:spacing w:line="500" w:lineRule="exact"/>
        <w:ind w:firstLine="560" w:firstLineChars="200"/>
        <w:rPr>
          <w:rFonts w:eastAsiaTheme="minorEastAsia"/>
          <w:snapToGrid w:val="0"/>
          <w:color w:val="000000" w:themeColor="text1"/>
          <w:sz w:val="28"/>
          <w:szCs w:val="28"/>
        </w:rPr>
      </w:pPr>
      <w:r>
        <w:rPr>
          <w:rFonts w:eastAsiaTheme="minorEastAsia"/>
          <w:snapToGrid w:val="0"/>
          <w:color w:val="000000" w:themeColor="text1"/>
          <w:sz w:val="28"/>
          <w:szCs w:val="28"/>
        </w:rPr>
        <w:t>(4)各级安监部门要切实加强对危险化学品企业的监管，确保安全生产隐患排查治理专项行动和百日督查专项行动的各项要求落实到位，确保安全监管主体责任落实到位。</w:t>
      </w:r>
    </w:p>
    <w:p>
      <w:pPr>
        <w:snapToGrid w:val="0"/>
        <w:spacing w:line="500" w:lineRule="exact"/>
        <w:ind w:firstLine="560" w:firstLineChars="200"/>
        <w:rPr>
          <w:rFonts w:eastAsiaTheme="minorEastAsia"/>
          <w:snapToGrid w:val="0"/>
          <w:color w:val="000000" w:themeColor="text1"/>
          <w:sz w:val="28"/>
          <w:szCs w:val="28"/>
        </w:rPr>
      </w:pPr>
      <w:r>
        <w:rPr>
          <w:rFonts w:eastAsiaTheme="minorEastAsia"/>
          <w:snapToGrid w:val="0"/>
          <w:color w:val="000000" w:themeColor="text1"/>
          <w:sz w:val="28"/>
          <w:szCs w:val="28"/>
        </w:rPr>
        <w:t>(5)企业应加强对从业人员的安全培训工作，增强员工安全意识，安全知识，以及应急能力。</w:t>
      </w:r>
    </w:p>
    <w:p>
      <w:pPr>
        <w:snapToGrid w:val="0"/>
        <w:spacing w:line="500" w:lineRule="exact"/>
        <w:ind w:firstLine="560" w:firstLineChars="200"/>
        <w:rPr>
          <w:rFonts w:eastAsiaTheme="minorEastAsia"/>
          <w:snapToGrid w:val="0"/>
          <w:color w:val="000000" w:themeColor="text1"/>
          <w:sz w:val="28"/>
          <w:szCs w:val="28"/>
        </w:rPr>
      </w:pPr>
      <w:r>
        <w:rPr>
          <w:rFonts w:eastAsiaTheme="minorEastAsia"/>
          <w:snapToGrid w:val="0"/>
          <w:color w:val="000000" w:themeColor="text1"/>
          <w:sz w:val="28"/>
          <w:szCs w:val="28"/>
        </w:rPr>
        <w:t>(6)加强对外来施工人员的培训教育工作，选择有资质的施工单位来进行施工工作，严格外来施工单位资质审查。</w:t>
      </w:r>
    </w:p>
    <w:p>
      <w:pPr>
        <w:pStyle w:val="19"/>
        <w:spacing w:afterLines="100" w:line="500" w:lineRule="exact"/>
        <w:rPr>
          <w:rFonts w:ascii="黑体" w:hAnsi="宋体" w:eastAsia="黑体"/>
          <w:color w:val="000000" w:themeColor="text1"/>
          <w:kern w:val="3"/>
          <w:sz w:val="28"/>
          <w:szCs w:val="28"/>
        </w:rPr>
      </w:pPr>
      <w:bookmarkStart w:id="1411" w:name="_Toc28902"/>
      <w:bookmarkStart w:id="1412" w:name="_Toc8448"/>
      <w:bookmarkStart w:id="1413" w:name="_Toc2620"/>
      <w:bookmarkStart w:id="1414" w:name="_Toc3290"/>
      <w:bookmarkStart w:id="1415" w:name="_Toc29957"/>
      <w:bookmarkStart w:id="1416" w:name="_Toc28460"/>
      <w:bookmarkStart w:id="1417" w:name="_Toc24612"/>
      <w:r>
        <w:rPr>
          <w:rFonts w:hint="eastAsia" w:ascii="黑体" w:hAnsi="宋体" w:eastAsia="黑体"/>
          <w:color w:val="000000" w:themeColor="text1"/>
          <w:kern w:val="3"/>
          <w:sz w:val="28"/>
          <w:szCs w:val="28"/>
        </w:rPr>
        <w:t>3.9.2甲醇中毒事故案例</w:t>
      </w:r>
      <w:bookmarkEnd w:id="1411"/>
      <w:bookmarkEnd w:id="1412"/>
      <w:bookmarkEnd w:id="1413"/>
      <w:bookmarkEnd w:id="1414"/>
      <w:bookmarkEnd w:id="1415"/>
      <w:bookmarkEnd w:id="1416"/>
      <w:bookmarkEnd w:id="1417"/>
    </w:p>
    <w:p>
      <w:pPr>
        <w:adjustRightInd w:val="0"/>
        <w:snapToGrid w:val="0"/>
        <w:spacing w:line="500" w:lineRule="exact"/>
        <w:ind w:firstLine="562" w:firstLineChars="200"/>
        <w:rPr>
          <w:rFonts w:eastAsiaTheme="minorEastAsia"/>
          <w:b/>
          <w:bCs/>
          <w:snapToGrid w:val="0"/>
          <w:color w:val="000000" w:themeColor="text1"/>
          <w:sz w:val="28"/>
          <w:szCs w:val="28"/>
        </w:rPr>
      </w:pPr>
      <w:bookmarkStart w:id="1418" w:name="_Toc31367"/>
      <w:r>
        <w:rPr>
          <w:rFonts w:eastAsiaTheme="minorEastAsia"/>
          <w:b/>
          <w:bCs/>
          <w:snapToGrid w:val="0"/>
          <w:color w:val="000000" w:themeColor="text1"/>
          <w:sz w:val="28"/>
          <w:szCs w:val="28"/>
        </w:rPr>
        <w:t>1</w:t>
      </w:r>
      <w:r>
        <w:rPr>
          <w:rFonts w:hint="eastAsia" w:eastAsiaTheme="minorEastAsia"/>
          <w:b/>
          <w:bCs/>
          <w:snapToGrid w:val="0"/>
          <w:color w:val="000000" w:themeColor="text1"/>
          <w:sz w:val="28"/>
          <w:szCs w:val="28"/>
        </w:rPr>
        <w:t>.</w:t>
      </w:r>
      <w:r>
        <w:rPr>
          <w:rFonts w:eastAsiaTheme="minorEastAsia"/>
          <w:b/>
          <w:bCs/>
          <w:snapToGrid w:val="0"/>
          <w:color w:val="000000" w:themeColor="text1"/>
          <w:sz w:val="28"/>
          <w:szCs w:val="28"/>
        </w:rPr>
        <w:t>事故概况</w:t>
      </w:r>
      <w:bookmarkEnd w:id="1418"/>
    </w:p>
    <w:p>
      <w:pPr>
        <w:pStyle w:val="51"/>
        <w:rPr>
          <w:rFonts w:ascii="Times New Roman" w:hAnsi="Times New Roman"/>
          <w:color w:val="000000" w:themeColor="text1"/>
        </w:rPr>
      </w:pPr>
      <w:r>
        <w:rPr>
          <w:rFonts w:ascii="Times New Roman" w:hAnsi="Times New Roman"/>
          <w:color w:val="000000" w:themeColor="text1"/>
        </w:rPr>
        <w:t>2010年10月27日中午，某化工厂车间甲醇泵岗位两名操作工午饭后来到甲醇泵室，因当天降温、室外寒冷并雨雪交加。2人就在温度较高的甲醇泵房内休息。13 时30分，即2人在甲醇泵房内逗留大约90min 后，操作工A自觉头晕、呕吐、双眼疼痛并视物不清，于是2人互相搀扶走出泵房，打算到室外换换新鲜空气。这时，操作工A上述症状加重，头晕的不能走，操作工B立即通知班长，将他送往医院诊治。操作工 B在回到甲醇泵房休息室休息1h后也出现了呕吐、眼痛、双眼睁不开等症状，也被车间送往医院进行诊治。其中1人在24h内，甲醇中毒症状和体征消失，第二天痊愈出院</w:t>
      </w:r>
      <w:r>
        <w:rPr>
          <w:rFonts w:hint="eastAsia" w:ascii="Times New Roman" w:hAnsi="Times New Roman"/>
          <w:color w:val="000000" w:themeColor="text1"/>
        </w:rPr>
        <w:t>，</w:t>
      </w:r>
      <w:r>
        <w:rPr>
          <w:rFonts w:ascii="Times New Roman" w:hAnsi="Times New Roman"/>
          <w:color w:val="000000" w:themeColor="text1"/>
        </w:rPr>
        <w:t>而另1人因中毒较重，住院3个月后出院。</w:t>
      </w:r>
    </w:p>
    <w:p>
      <w:pPr>
        <w:pStyle w:val="51"/>
        <w:ind w:firstLine="562"/>
        <w:rPr>
          <w:rFonts w:ascii="Times New Roman" w:hAnsi="Times New Roman"/>
          <w:b/>
          <w:bCs/>
          <w:color w:val="000000" w:themeColor="text1"/>
        </w:rPr>
      </w:pPr>
      <w:bookmarkStart w:id="1419" w:name="_Toc25582"/>
      <w:r>
        <w:rPr>
          <w:rFonts w:ascii="Times New Roman" w:hAnsi="Times New Roman"/>
          <w:b/>
          <w:bCs/>
          <w:color w:val="000000" w:themeColor="text1"/>
        </w:rPr>
        <w:t>2</w:t>
      </w:r>
      <w:r>
        <w:rPr>
          <w:rFonts w:hint="eastAsia" w:ascii="Times New Roman" w:hAnsi="Times New Roman"/>
          <w:b/>
          <w:bCs/>
          <w:color w:val="000000" w:themeColor="text1"/>
        </w:rPr>
        <w:t>.</w:t>
      </w:r>
      <w:r>
        <w:rPr>
          <w:rFonts w:ascii="Times New Roman" w:hAnsi="Times New Roman"/>
          <w:b/>
          <w:bCs/>
          <w:color w:val="000000" w:themeColor="text1"/>
        </w:rPr>
        <w:t>事故原因</w:t>
      </w:r>
      <w:bookmarkEnd w:id="1419"/>
    </w:p>
    <w:p>
      <w:pPr>
        <w:pStyle w:val="51"/>
        <w:rPr>
          <w:rFonts w:ascii="Times New Roman" w:hAnsi="Times New Roman"/>
          <w:color w:val="000000" w:themeColor="text1"/>
        </w:rPr>
      </w:pPr>
      <w:r>
        <w:rPr>
          <w:rFonts w:ascii="Times New Roman" w:hAnsi="Times New Roman"/>
          <w:color w:val="000000" w:themeColor="text1"/>
        </w:rPr>
        <w:t>从事故的定义讲，事故是由于人的不安全行为、物的不安全状态、管理缺欠、环境因素同时出现并联合作用而导致的人员伤亡和财产损失。那么，从以上4个方面来分析这起事故发生的原因。</w:t>
      </w:r>
    </w:p>
    <w:p>
      <w:pPr>
        <w:pStyle w:val="51"/>
        <w:rPr>
          <w:rFonts w:ascii="Times New Roman" w:hAnsi="Times New Roman"/>
          <w:color w:val="000000" w:themeColor="text1"/>
        </w:rPr>
      </w:pPr>
      <w:r>
        <w:rPr>
          <w:rFonts w:hint="eastAsia" w:ascii="Times New Roman" w:hAnsi="Times New Roman"/>
          <w:color w:val="000000" w:themeColor="text1"/>
        </w:rPr>
        <w:t>（1）人的不安全行为</w:t>
      </w:r>
    </w:p>
    <w:p>
      <w:pPr>
        <w:pStyle w:val="51"/>
        <w:rPr>
          <w:rFonts w:ascii="Times New Roman" w:hAnsi="Times New Roman"/>
          <w:color w:val="000000" w:themeColor="text1"/>
        </w:rPr>
      </w:pPr>
      <w:r>
        <w:rPr>
          <w:rFonts w:hint="eastAsia" w:ascii="Times New Roman" w:hAnsi="Times New Roman"/>
          <w:color w:val="000000" w:themeColor="text1"/>
        </w:rPr>
        <w:t>一是此次甲醇中毒的2个人都是甲醇泵房岗位的操作工，对甲醇的理化性质和危害后果不清楚，长时间逗留在有甲醇泄漏的生产作业环境中，主观上没有高度重视甲醇中毒所造成的严重后果；</w:t>
      </w:r>
    </w:p>
    <w:p>
      <w:pPr>
        <w:pStyle w:val="51"/>
        <w:rPr>
          <w:rFonts w:ascii="Times New Roman" w:hAnsi="Times New Roman"/>
          <w:color w:val="000000" w:themeColor="text1"/>
        </w:rPr>
      </w:pPr>
      <w:r>
        <w:rPr>
          <w:rFonts w:hint="eastAsia" w:ascii="Times New Roman" w:hAnsi="Times New Roman"/>
          <w:color w:val="000000" w:themeColor="text1"/>
        </w:rPr>
        <w:t>二是岗位员工在有甲醇泄漏的环境中长时间逗留而没有任何防护意识并采取有效的防护措施；</w:t>
      </w:r>
    </w:p>
    <w:p>
      <w:pPr>
        <w:pStyle w:val="51"/>
        <w:rPr>
          <w:rFonts w:ascii="Times New Roman" w:hAnsi="Times New Roman"/>
          <w:color w:val="000000" w:themeColor="text1"/>
        </w:rPr>
      </w:pPr>
      <w:r>
        <w:rPr>
          <w:rFonts w:hint="eastAsia" w:ascii="Times New Roman" w:hAnsi="Times New Roman"/>
          <w:color w:val="000000" w:themeColor="text1"/>
        </w:rPr>
        <w:t>三是2人都是该岗位的操作工，平时的责任意识差，没有及时将泄漏的设备告知车间修理，也没有督促车间及时修补堵漏。所以，人的安全意识差、安全技能低是本次事故发生的主要原因。</w:t>
      </w:r>
    </w:p>
    <w:p>
      <w:pPr>
        <w:pStyle w:val="51"/>
        <w:rPr>
          <w:rFonts w:ascii="Times New Roman" w:hAnsi="Times New Roman"/>
          <w:color w:val="000000" w:themeColor="text1"/>
        </w:rPr>
      </w:pPr>
      <w:r>
        <w:rPr>
          <w:rFonts w:hint="eastAsia" w:ascii="Times New Roman" w:hAnsi="Times New Roman"/>
          <w:color w:val="000000" w:themeColor="text1"/>
        </w:rPr>
        <w:t>（2）物的不安全状态</w:t>
      </w:r>
    </w:p>
    <w:p>
      <w:pPr>
        <w:pStyle w:val="51"/>
        <w:rPr>
          <w:rFonts w:ascii="Times New Roman" w:hAnsi="Times New Roman"/>
          <w:color w:val="000000" w:themeColor="text1"/>
        </w:rPr>
      </w:pPr>
      <w:r>
        <w:rPr>
          <w:rFonts w:hint="eastAsia" w:ascii="Times New Roman" w:hAnsi="Times New Roman"/>
          <w:color w:val="000000" w:themeColor="text1"/>
        </w:rPr>
        <w:t>甲醇离心泵出口阀门发生泄漏是本次事故发生的直接原因。</w:t>
      </w:r>
    </w:p>
    <w:p>
      <w:pPr>
        <w:pStyle w:val="51"/>
        <w:rPr>
          <w:rFonts w:ascii="Times New Roman" w:hAnsi="Times New Roman"/>
          <w:color w:val="000000" w:themeColor="text1"/>
        </w:rPr>
      </w:pPr>
      <w:r>
        <w:rPr>
          <w:rFonts w:hint="eastAsia" w:ascii="Times New Roman" w:hAnsi="Times New Roman"/>
          <w:color w:val="000000" w:themeColor="text1"/>
        </w:rPr>
        <w:t>（3）管理缺欠</w:t>
      </w:r>
    </w:p>
    <w:p>
      <w:pPr>
        <w:pStyle w:val="51"/>
        <w:rPr>
          <w:rFonts w:ascii="Times New Roman" w:hAnsi="Times New Roman"/>
          <w:color w:val="000000" w:themeColor="text1"/>
        </w:rPr>
      </w:pPr>
      <w:r>
        <w:rPr>
          <w:rFonts w:hint="eastAsia" w:ascii="Times New Roman" w:hAnsi="Times New Roman"/>
          <w:color w:val="000000" w:themeColor="text1"/>
        </w:rPr>
        <w:t>一是甲醇离心泵出口阀门发生泄漏没有引起车间各级管理人员和岗位操作人员的高度重视，车间每日的专业技术干部巡检、车间领导干部巡检都发现了甲醇离心泵出口阀门泄漏这一隐患问题，但都没有及时对泄漏的设备进行检修堵漏处理，也没有挂放设备泄漏标志牌，更没有针对甲醇离心泵出口阀门泄漏问题制定相应的监督监管安全技术措施和应急预案。</w:t>
      </w:r>
    </w:p>
    <w:p>
      <w:pPr>
        <w:pStyle w:val="51"/>
        <w:rPr>
          <w:rFonts w:ascii="Times New Roman" w:hAnsi="Times New Roman"/>
          <w:color w:val="000000" w:themeColor="text1"/>
        </w:rPr>
      </w:pPr>
      <w:r>
        <w:rPr>
          <w:rFonts w:hint="eastAsia" w:ascii="Times New Roman" w:hAnsi="Times New Roman"/>
          <w:color w:val="000000" w:themeColor="text1"/>
        </w:rPr>
        <w:t>二是车间各级管理人员对岗位员工疏于管理，员工午休时间不在休息室休息，而是长时间逗留在操作现场，没有人予以制止。</w:t>
      </w:r>
    </w:p>
    <w:p>
      <w:pPr>
        <w:pStyle w:val="51"/>
        <w:rPr>
          <w:rFonts w:ascii="Times New Roman" w:hAnsi="Times New Roman"/>
          <w:color w:val="000000" w:themeColor="text1"/>
        </w:rPr>
      </w:pPr>
      <w:r>
        <w:rPr>
          <w:rFonts w:hint="eastAsia" w:ascii="Times New Roman" w:hAnsi="Times New Roman"/>
          <w:color w:val="000000" w:themeColor="text1"/>
        </w:rPr>
        <w:t>三是车间对员工的安全教育不到位，没有将甲醇中毒的危害以及泄漏后要佩戴个人防护设施的要求落实到每名员工。</w:t>
      </w:r>
    </w:p>
    <w:p>
      <w:pPr>
        <w:pStyle w:val="51"/>
        <w:rPr>
          <w:rFonts w:ascii="Times New Roman" w:hAnsi="Times New Roman"/>
          <w:color w:val="000000" w:themeColor="text1"/>
        </w:rPr>
      </w:pPr>
      <w:r>
        <w:rPr>
          <w:rFonts w:hint="eastAsia" w:ascii="Times New Roman" w:hAnsi="Times New Roman"/>
          <w:color w:val="000000" w:themeColor="text1"/>
        </w:rPr>
        <w:t>（4）环境因素</w:t>
      </w:r>
    </w:p>
    <w:p>
      <w:pPr>
        <w:pStyle w:val="51"/>
        <w:rPr>
          <w:rFonts w:ascii="Times New Roman" w:hAnsi="Times New Roman"/>
          <w:color w:val="000000" w:themeColor="text1"/>
        </w:rPr>
      </w:pPr>
      <w:r>
        <w:rPr>
          <w:rFonts w:hint="eastAsia" w:ascii="Times New Roman" w:hAnsi="Times New Roman"/>
          <w:color w:val="000000" w:themeColor="text1"/>
        </w:rPr>
        <w:t>在这起事故中，环境因素起了重要作用。试想，如果天气不降温，甲醇泵房就不用关好门窗，那么室内泄漏的有毒甲醇物料就不会积聚在室内；如果天气不寒冷，员工就不能长时间逗留在温暖的甲醇泵房生产作业现场而增加人体吸入甲醇的剂量。</w:t>
      </w:r>
    </w:p>
    <w:p>
      <w:pPr>
        <w:pStyle w:val="51"/>
        <w:ind w:left="630" w:firstLine="0" w:firstLineChars="0"/>
        <w:rPr>
          <w:rFonts w:ascii="Times New Roman" w:hAnsi="Times New Roman"/>
          <w:b/>
          <w:bCs/>
          <w:color w:val="000000" w:themeColor="text1"/>
        </w:rPr>
      </w:pPr>
      <w:bookmarkStart w:id="1420" w:name="_Toc23508"/>
      <w:r>
        <w:rPr>
          <w:rFonts w:hint="eastAsia" w:ascii="Times New Roman" w:hAnsi="Times New Roman"/>
          <w:b/>
          <w:bCs/>
          <w:color w:val="000000" w:themeColor="text1"/>
        </w:rPr>
        <w:t>3.</w:t>
      </w:r>
      <w:r>
        <w:rPr>
          <w:rFonts w:ascii="Times New Roman" w:hAnsi="Times New Roman"/>
          <w:b/>
          <w:bCs/>
          <w:color w:val="000000" w:themeColor="text1"/>
        </w:rPr>
        <w:t>吸取的教训和采取的安全技术措施</w:t>
      </w:r>
      <w:bookmarkEnd w:id="1420"/>
    </w:p>
    <w:p>
      <w:pPr>
        <w:pStyle w:val="51"/>
        <w:rPr>
          <w:rFonts w:ascii="Times New Roman" w:hAnsi="Times New Roman"/>
          <w:color w:val="000000" w:themeColor="text1"/>
        </w:rPr>
      </w:pPr>
      <w:r>
        <w:rPr>
          <w:rFonts w:hint="eastAsia" w:ascii="Times New Roman" w:hAnsi="Times New Roman"/>
          <w:color w:val="000000" w:themeColor="text1"/>
        </w:rPr>
        <w:t>（1）</w:t>
      </w:r>
      <w:r>
        <w:rPr>
          <w:rFonts w:ascii="Times New Roman" w:hAnsi="Times New Roman"/>
          <w:color w:val="000000" w:themeColor="text1"/>
        </w:rPr>
        <w:t>各级管理部门要加强对员工的培训教育，提高全员对化工装置冬季生产的风险意识、防范意识。</w:t>
      </w:r>
    </w:p>
    <w:p>
      <w:pPr>
        <w:pStyle w:val="51"/>
        <w:rPr>
          <w:rFonts w:ascii="Times New Roman" w:hAnsi="Times New Roman"/>
          <w:color w:val="000000" w:themeColor="text1"/>
        </w:rPr>
      </w:pPr>
      <w:r>
        <w:rPr>
          <w:rFonts w:hint="eastAsia" w:ascii="Times New Roman" w:hAnsi="Times New Roman"/>
          <w:color w:val="000000" w:themeColor="text1"/>
        </w:rPr>
        <w:t>（2）</w:t>
      </w:r>
      <w:r>
        <w:rPr>
          <w:rFonts w:ascii="Times New Roman" w:hAnsi="Times New Roman"/>
          <w:color w:val="000000" w:themeColor="text1"/>
        </w:rPr>
        <w:t>加强工艺纪律和劳动纪律的管理，防止超温、超压、脱岗、睡岗等违章违纪现象的发生。</w:t>
      </w:r>
    </w:p>
    <w:p>
      <w:pPr>
        <w:pStyle w:val="51"/>
        <w:rPr>
          <w:rFonts w:ascii="Times New Roman" w:hAnsi="Times New Roman"/>
          <w:color w:val="000000" w:themeColor="text1"/>
        </w:rPr>
      </w:pPr>
      <w:r>
        <w:rPr>
          <w:rFonts w:hint="eastAsia" w:ascii="Times New Roman" w:hAnsi="Times New Roman"/>
          <w:color w:val="000000" w:themeColor="text1"/>
        </w:rPr>
        <w:t>（3）</w:t>
      </w:r>
      <w:r>
        <w:rPr>
          <w:rFonts w:ascii="Times New Roman" w:hAnsi="Times New Roman"/>
          <w:color w:val="000000" w:themeColor="text1"/>
        </w:rPr>
        <w:t>加强各级管理干部和员工的不间断巡检，及时发现设备跑冒滴漏现象，及时维修和处理这些隐患，避免中毒、着火爆炸事故的发生。</w:t>
      </w:r>
    </w:p>
    <w:p>
      <w:pPr>
        <w:pStyle w:val="51"/>
        <w:rPr>
          <w:rFonts w:ascii="Times New Roman" w:hAnsi="Times New Roman"/>
          <w:color w:val="000000" w:themeColor="text1"/>
        </w:rPr>
      </w:pPr>
      <w:r>
        <w:rPr>
          <w:rFonts w:hint="eastAsia" w:ascii="Times New Roman" w:hAnsi="Times New Roman"/>
          <w:color w:val="000000" w:themeColor="text1"/>
        </w:rPr>
        <w:t>（4）</w:t>
      </w:r>
      <w:r>
        <w:rPr>
          <w:rFonts w:ascii="Times New Roman" w:hAnsi="Times New Roman"/>
          <w:color w:val="000000" w:themeColor="text1"/>
        </w:rPr>
        <w:t>加强通排风设施的管理，防止有毒、可燃气体积聚导致中毒和着火爆炸事故的发生。各车间要对可燃、有毒气体报警仪进行有效管理，发现异常情况要查明原因，不能掉以轻心。</w:t>
      </w:r>
    </w:p>
    <w:p>
      <w:pPr>
        <w:pStyle w:val="51"/>
        <w:rPr>
          <w:rFonts w:ascii="Times New Roman" w:hAnsi="Times New Roman"/>
          <w:color w:val="000000" w:themeColor="text1"/>
        </w:rPr>
      </w:pPr>
      <w:r>
        <w:rPr>
          <w:rFonts w:hint="eastAsia" w:ascii="Times New Roman" w:hAnsi="Times New Roman"/>
          <w:color w:val="000000" w:themeColor="text1"/>
        </w:rPr>
        <w:t>（5）</w:t>
      </w:r>
      <w:r>
        <w:rPr>
          <w:rFonts w:ascii="Times New Roman" w:hAnsi="Times New Roman"/>
          <w:color w:val="000000" w:themeColor="text1"/>
        </w:rPr>
        <w:t>加强个人防护设施的佩戴，尤其是在设备泄漏的场所、处理泄漏设备、管线、阀门等突发险情时，必须佩戴有效的劳保用品，防止因不佩戴劳保用品而发生不必要的伤害。</w:t>
      </w:r>
    </w:p>
    <w:p>
      <w:pPr>
        <w:pStyle w:val="51"/>
        <w:rPr>
          <w:rFonts w:ascii="Times New Roman" w:hAnsi="Times New Roman"/>
          <w:color w:val="000000" w:themeColor="text1"/>
        </w:rPr>
      </w:pPr>
      <w:r>
        <w:rPr>
          <w:rFonts w:hint="eastAsia" w:ascii="Times New Roman" w:hAnsi="Times New Roman"/>
          <w:color w:val="000000" w:themeColor="text1"/>
        </w:rPr>
        <w:t>（6）</w:t>
      </w:r>
      <w:r>
        <w:rPr>
          <w:rFonts w:ascii="Times New Roman" w:hAnsi="Times New Roman"/>
          <w:color w:val="000000" w:themeColor="text1"/>
        </w:rPr>
        <w:t>各车间要将以往冬季发生的各类险情、事件、事故举一反三组织员工学习，挖掘发生事故的原因以及吸取的事故教训，确保冬季安全稳定生产。</w:t>
      </w:r>
    </w:p>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Pr>
        <w:keepNext/>
        <w:keepLines/>
        <w:pageBreakBefore/>
        <w:spacing w:before="340" w:after="330" w:line="500" w:lineRule="exact"/>
        <w:jc w:val="center"/>
        <w:outlineLvl w:val="0"/>
        <w:rPr>
          <w:rFonts w:hint="eastAsia" w:ascii="楷体_GB2312" w:hAnsi="宋体" w:eastAsia="楷体_GB2312"/>
          <w:b/>
          <w:bCs/>
          <w:color w:val="000000" w:themeColor="text1"/>
          <w:kern w:val="3"/>
          <w:sz w:val="32"/>
          <w:szCs w:val="32"/>
        </w:rPr>
      </w:pPr>
      <w:bookmarkStart w:id="1421" w:name="_Toc18290"/>
      <w:bookmarkStart w:id="1422" w:name="_Toc14621"/>
      <w:bookmarkStart w:id="1423" w:name="_Toc26341"/>
      <w:bookmarkStart w:id="1424" w:name="_Toc5029"/>
      <w:bookmarkStart w:id="1425" w:name="_Toc17341"/>
      <w:bookmarkStart w:id="1426" w:name="_Toc1719"/>
      <w:bookmarkStart w:id="1427" w:name="_Toc5060"/>
      <w:bookmarkStart w:id="1428" w:name="_Toc9396"/>
      <w:bookmarkStart w:id="1429" w:name="_Toc15443"/>
      <w:bookmarkStart w:id="1430" w:name="_Toc359"/>
      <w:bookmarkStart w:id="1431" w:name="_Toc4669"/>
      <w:bookmarkStart w:id="1432" w:name="_Toc17732"/>
      <w:bookmarkStart w:id="1433" w:name="_Toc7841"/>
      <w:bookmarkStart w:id="1434" w:name="_Toc30335"/>
      <w:bookmarkStart w:id="1435" w:name="_Toc1939"/>
      <w:bookmarkStart w:id="1436" w:name="_Toc13273_WPSOffice_Level1"/>
      <w:bookmarkStart w:id="1437" w:name="_Toc6093"/>
      <w:r>
        <w:rPr>
          <w:rFonts w:hint="eastAsia" w:ascii="楷体_GB2312" w:hAnsi="宋体" w:eastAsia="楷体_GB2312"/>
          <w:b/>
          <w:bCs/>
          <w:color w:val="000000" w:themeColor="text1"/>
          <w:kern w:val="3"/>
          <w:sz w:val="32"/>
          <w:szCs w:val="32"/>
        </w:rPr>
        <w:t>第4章评价单元的划分和评价方法的选择</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pPr>
        <w:pStyle w:val="19"/>
        <w:spacing w:afterLines="100" w:line="500" w:lineRule="exact"/>
        <w:jc w:val="center"/>
        <w:rPr>
          <w:rFonts w:ascii="楷体_GB2312" w:hAnsi="宋体" w:eastAsia="楷体_GB2312"/>
          <w:color w:val="000000" w:themeColor="text1"/>
          <w:kern w:val="3"/>
        </w:rPr>
      </w:pPr>
      <w:bookmarkStart w:id="1438" w:name="_Toc191728189"/>
      <w:bookmarkStart w:id="1439" w:name="_Toc20422"/>
      <w:bookmarkStart w:id="1440" w:name="_Toc13577"/>
      <w:bookmarkStart w:id="1441" w:name="_Toc10343"/>
      <w:bookmarkStart w:id="1442" w:name="_Toc6339"/>
      <w:bookmarkStart w:id="1443" w:name="_Toc30300_WPSOffice_Level2"/>
      <w:bookmarkStart w:id="1444" w:name="_Toc194389947"/>
      <w:bookmarkStart w:id="1445" w:name="_Toc191729749"/>
      <w:bookmarkStart w:id="1446" w:name="_Toc11737"/>
      <w:bookmarkStart w:id="1447" w:name="_Toc191730033"/>
      <w:bookmarkStart w:id="1448" w:name="_Toc10806"/>
      <w:bookmarkStart w:id="1449" w:name="_Toc8164"/>
      <w:bookmarkStart w:id="1450" w:name="_Toc21209"/>
      <w:bookmarkStart w:id="1451" w:name="_Toc217444233"/>
      <w:bookmarkStart w:id="1452" w:name="_Toc7326"/>
      <w:bookmarkStart w:id="1453" w:name="_Toc30091"/>
      <w:bookmarkStart w:id="1454" w:name="_Toc8879"/>
      <w:bookmarkStart w:id="1455" w:name="_Toc32358"/>
      <w:bookmarkStart w:id="1456" w:name="_Toc2045"/>
      <w:bookmarkStart w:id="1457" w:name="_Toc5740"/>
      <w:bookmarkStart w:id="1458" w:name="_Toc24406"/>
      <w:bookmarkStart w:id="1459" w:name="_Toc4623"/>
      <w:r>
        <w:rPr>
          <w:rFonts w:hint="eastAsia" w:ascii="楷体_GB2312" w:hAnsi="宋体" w:eastAsia="楷体_GB2312"/>
          <w:color w:val="000000" w:themeColor="text1"/>
          <w:kern w:val="3"/>
        </w:rPr>
        <w:t>4.1评价单元划分</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pPr>
        <w:pStyle w:val="19"/>
        <w:spacing w:afterLines="100" w:line="500" w:lineRule="exact"/>
        <w:rPr>
          <w:rFonts w:ascii="黑体" w:hAnsi="宋体" w:eastAsia="黑体"/>
          <w:color w:val="000000" w:themeColor="text1"/>
          <w:kern w:val="3"/>
          <w:sz w:val="28"/>
          <w:szCs w:val="28"/>
        </w:rPr>
      </w:pPr>
      <w:bookmarkStart w:id="1460" w:name="_Toc3397"/>
      <w:bookmarkStart w:id="1461" w:name="_Toc151353653"/>
      <w:bookmarkStart w:id="1462" w:name="_Toc7316"/>
      <w:bookmarkStart w:id="1463" w:name="_Toc12294"/>
      <w:bookmarkStart w:id="1464" w:name="_Toc18703"/>
      <w:bookmarkStart w:id="1465" w:name="_Toc5655"/>
      <w:bookmarkStart w:id="1466" w:name="_Toc30668"/>
      <w:bookmarkStart w:id="1467" w:name="_Toc28209"/>
      <w:bookmarkStart w:id="1468" w:name="_Toc217444234"/>
      <w:bookmarkStart w:id="1469" w:name="_Toc13435"/>
      <w:bookmarkStart w:id="1470" w:name="_Toc191728190"/>
      <w:bookmarkStart w:id="1471" w:name="_Toc194389948"/>
      <w:bookmarkStart w:id="1472" w:name="_Toc191730034"/>
      <w:bookmarkStart w:id="1473" w:name="_Toc132"/>
      <w:bookmarkStart w:id="1474" w:name="_Toc5032"/>
      <w:bookmarkStart w:id="1475" w:name="_Toc191729750"/>
      <w:bookmarkStart w:id="1476" w:name="_Toc5311"/>
      <w:r>
        <w:rPr>
          <w:rFonts w:hint="eastAsia" w:ascii="黑体" w:hAnsi="宋体" w:eastAsia="黑体"/>
          <w:color w:val="000000" w:themeColor="text1"/>
          <w:kern w:val="3"/>
          <w:sz w:val="28"/>
          <w:szCs w:val="28"/>
        </w:rPr>
        <w:t>4.1.1评价单元划分原则</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pPr>
        <w:adjustRightInd w:val="0"/>
        <w:snapToGrid w:val="0"/>
        <w:spacing w:line="500" w:lineRule="exact"/>
        <w:ind w:firstLine="560" w:firstLineChars="200"/>
        <w:rPr>
          <w:snapToGrid w:val="0"/>
          <w:color w:val="000000" w:themeColor="text1"/>
          <w:kern w:val="0"/>
          <w:sz w:val="28"/>
          <w:szCs w:val="24"/>
        </w:rPr>
      </w:pPr>
      <w:r>
        <w:rPr>
          <w:snapToGrid w:val="0"/>
          <w:color w:val="000000" w:themeColor="text1"/>
          <w:kern w:val="0"/>
          <w:sz w:val="28"/>
          <w:szCs w:val="24"/>
        </w:rPr>
        <w:t>评价单元划分是在对危险、有害因素辨析的基础上，根据评价目的和评价方法的需要，将系统分成若干子单元的需要评价的单元，以提高评价的客观性和准确性。</w:t>
      </w:r>
    </w:p>
    <w:p>
      <w:pPr>
        <w:adjustRightInd w:val="0"/>
        <w:snapToGrid w:val="0"/>
        <w:spacing w:line="500" w:lineRule="exact"/>
        <w:ind w:firstLine="560" w:firstLineChars="200"/>
        <w:rPr>
          <w:snapToGrid w:val="0"/>
          <w:color w:val="000000" w:themeColor="text1"/>
          <w:kern w:val="0"/>
          <w:sz w:val="28"/>
          <w:szCs w:val="24"/>
        </w:rPr>
      </w:pPr>
      <w:r>
        <w:rPr>
          <w:snapToGrid w:val="0"/>
          <w:color w:val="000000" w:themeColor="text1"/>
          <w:kern w:val="0"/>
          <w:sz w:val="28"/>
          <w:szCs w:val="24"/>
        </w:rPr>
        <w:t>评价单元的划分，一般将生产工艺、工艺装置、物料的特性及危险、有害因素类别、分布状况综合考虑后，进行划分。</w:t>
      </w:r>
    </w:p>
    <w:p>
      <w:pPr>
        <w:pStyle w:val="19"/>
        <w:spacing w:afterLines="100" w:line="500" w:lineRule="exact"/>
        <w:rPr>
          <w:rFonts w:ascii="黑体" w:hAnsi="宋体" w:eastAsia="黑体"/>
          <w:color w:val="000000" w:themeColor="text1"/>
          <w:kern w:val="3"/>
          <w:sz w:val="28"/>
          <w:szCs w:val="28"/>
        </w:rPr>
      </w:pPr>
      <w:bookmarkStart w:id="1477" w:name="_Toc1209"/>
      <w:bookmarkStart w:id="1478" w:name="_Toc191729751"/>
      <w:bookmarkStart w:id="1479" w:name="_Toc1241"/>
      <w:bookmarkStart w:id="1480" w:name="_Toc217444235"/>
      <w:bookmarkStart w:id="1481" w:name="_Toc191730035"/>
      <w:bookmarkStart w:id="1482" w:name="_Toc29380"/>
      <w:bookmarkStart w:id="1483" w:name="_Toc12777"/>
      <w:bookmarkStart w:id="1484" w:name="_Toc8856"/>
      <w:bookmarkStart w:id="1485" w:name="_Toc151353654"/>
      <w:bookmarkStart w:id="1486" w:name="_Toc27829"/>
      <w:bookmarkStart w:id="1487" w:name="_Toc20163"/>
      <w:bookmarkStart w:id="1488" w:name="_Toc194389949"/>
      <w:bookmarkStart w:id="1489" w:name="_Toc6640"/>
      <w:bookmarkStart w:id="1490" w:name="_Toc25569"/>
      <w:bookmarkStart w:id="1491" w:name="_Toc191728191"/>
      <w:bookmarkStart w:id="1492" w:name="_Toc3870"/>
      <w:bookmarkStart w:id="1493" w:name="_Toc2279"/>
      <w:r>
        <w:rPr>
          <w:rFonts w:hint="eastAsia" w:ascii="黑体" w:hAnsi="宋体" w:eastAsia="黑体"/>
          <w:color w:val="000000" w:themeColor="text1"/>
          <w:kern w:val="3"/>
          <w:sz w:val="28"/>
          <w:szCs w:val="28"/>
        </w:rPr>
        <w:t>4.1.2评价单元划分方法</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pPr>
        <w:adjustRightInd w:val="0"/>
        <w:snapToGrid w:val="0"/>
        <w:spacing w:line="500" w:lineRule="exact"/>
        <w:ind w:firstLine="560" w:firstLineChars="200"/>
        <w:rPr>
          <w:snapToGrid w:val="0"/>
          <w:color w:val="000000" w:themeColor="text1"/>
          <w:kern w:val="0"/>
          <w:sz w:val="28"/>
          <w:szCs w:val="24"/>
        </w:rPr>
      </w:pPr>
      <w:r>
        <w:rPr>
          <w:snapToGrid w:val="0"/>
          <w:color w:val="000000" w:themeColor="text1"/>
          <w:kern w:val="0"/>
          <w:sz w:val="28"/>
          <w:szCs w:val="24"/>
        </w:rPr>
        <w:t>常用的评价单元划分方法有：</w:t>
      </w:r>
    </w:p>
    <w:p>
      <w:pPr>
        <w:adjustRightInd w:val="0"/>
        <w:snapToGrid w:val="0"/>
        <w:spacing w:line="500" w:lineRule="exact"/>
        <w:ind w:firstLine="560" w:firstLineChars="200"/>
        <w:rPr>
          <w:snapToGrid w:val="0"/>
          <w:color w:val="000000" w:themeColor="text1"/>
          <w:kern w:val="0"/>
          <w:sz w:val="28"/>
          <w:szCs w:val="24"/>
        </w:rPr>
      </w:pPr>
      <w:r>
        <w:rPr>
          <w:snapToGrid w:val="0"/>
          <w:color w:val="000000" w:themeColor="text1"/>
          <w:kern w:val="0"/>
          <w:sz w:val="28"/>
          <w:szCs w:val="24"/>
        </w:rPr>
        <w:t>1</w:t>
      </w:r>
      <w:r>
        <w:rPr>
          <w:rFonts w:hint="eastAsia"/>
          <w:snapToGrid w:val="0"/>
          <w:color w:val="000000" w:themeColor="text1"/>
          <w:kern w:val="0"/>
          <w:sz w:val="28"/>
          <w:szCs w:val="24"/>
        </w:rPr>
        <w:t>.</w:t>
      </w:r>
      <w:r>
        <w:rPr>
          <w:snapToGrid w:val="0"/>
          <w:color w:val="000000" w:themeColor="text1"/>
          <w:kern w:val="0"/>
          <w:sz w:val="28"/>
          <w:szCs w:val="24"/>
        </w:rPr>
        <w:t>以危险、有害因素的类别为主划分评价单元。</w:t>
      </w:r>
    </w:p>
    <w:p>
      <w:pPr>
        <w:adjustRightInd w:val="0"/>
        <w:snapToGrid w:val="0"/>
        <w:spacing w:line="500" w:lineRule="exact"/>
        <w:ind w:firstLine="560" w:firstLineChars="200"/>
        <w:rPr>
          <w:snapToGrid w:val="0"/>
          <w:color w:val="000000" w:themeColor="text1"/>
          <w:kern w:val="0"/>
          <w:sz w:val="28"/>
          <w:szCs w:val="24"/>
        </w:rPr>
      </w:pPr>
      <w:r>
        <w:rPr>
          <w:rFonts w:hint="eastAsia"/>
          <w:snapToGrid w:val="0"/>
          <w:color w:val="000000" w:themeColor="text1"/>
          <w:kern w:val="0"/>
          <w:sz w:val="28"/>
          <w:szCs w:val="24"/>
        </w:rPr>
        <w:t>（1）</w:t>
      </w:r>
      <w:r>
        <w:rPr>
          <w:snapToGrid w:val="0"/>
          <w:color w:val="000000" w:themeColor="text1"/>
          <w:kern w:val="0"/>
          <w:sz w:val="28"/>
          <w:szCs w:val="24"/>
        </w:rPr>
        <w:t>对工艺方案、总体布置及自然条件、环境对系统影响等综合方面的危险、有害因素的分析和评价，可将整个系统作为一个评价单元</w:t>
      </w:r>
      <w:r>
        <w:rPr>
          <w:rFonts w:hint="eastAsia"/>
          <w:snapToGrid w:val="0"/>
          <w:color w:val="000000" w:themeColor="text1"/>
          <w:kern w:val="0"/>
          <w:sz w:val="28"/>
          <w:szCs w:val="24"/>
        </w:rPr>
        <w:t>。</w:t>
      </w:r>
    </w:p>
    <w:p>
      <w:pPr>
        <w:adjustRightInd w:val="0"/>
        <w:snapToGrid w:val="0"/>
        <w:spacing w:line="500" w:lineRule="exact"/>
        <w:ind w:left="561" w:leftChars="267"/>
        <w:rPr>
          <w:snapToGrid w:val="0"/>
          <w:color w:val="000000" w:themeColor="text1"/>
          <w:kern w:val="0"/>
          <w:sz w:val="28"/>
          <w:szCs w:val="24"/>
        </w:rPr>
      </w:pPr>
      <w:r>
        <w:rPr>
          <w:rFonts w:hint="eastAsia"/>
          <w:snapToGrid w:val="0"/>
          <w:color w:val="000000" w:themeColor="text1"/>
          <w:kern w:val="0"/>
          <w:sz w:val="28"/>
          <w:szCs w:val="24"/>
        </w:rPr>
        <w:t>（2）</w:t>
      </w:r>
      <w:r>
        <w:rPr>
          <w:snapToGrid w:val="0"/>
          <w:color w:val="000000" w:themeColor="text1"/>
          <w:kern w:val="0"/>
          <w:sz w:val="28"/>
          <w:szCs w:val="24"/>
        </w:rPr>
        <w:t>将具有共性危险因素、有害因素的场所和装置划为一个单元。</w:t>
      </w:r>
    </w:p>
    <w:p>
      <w:pPr>
        <w:adjustRightInd w:val="0"/>
        <w:snapToGrid w:val="0"/>
        <w:spacing w:line="500" w:lineRule="exact"/>
        <w:ind w:firstLine="560" w:firstLineChars="200"/>
        <w:rPr>
          <w:snapToGrid w:val="0"/>
          <w:color w:val="000000" w:themeColor="text1"/>
          <w:kern w:val="0"/>
          <w:sz w:val="28"/>
          <w:szCs w:val="24"/>
        </w:rPr>
      </w:pPr>
      <w:r>
        <w:rPr>
          <w:snapToGrid w:val="0"/>
          <w:color w:val="000000" w:themeColor="text1"/>
          <w:kern w:val="0"/>
          <w:sz w:val="28"/>
          <w:szCs w:val="24"/>
        </w:rPr>
        <w:t>2</w:t>
      </w:r>
      <w:r>
        <w:rPr>
          <w:rFonts w:hint="eastAsia"/>
          <w:snapToGrid w:val="0"/>
          <w:color w:val="000000" w:themeColor="text1"/>
          <w:kern w:val="0"/>
          <w:sz w:val="28"/>
          <w:szCs w:val="24"/>
        </w:rPr>
        <w:t>.</w:t>
      </w:r>
      <w:r>
        <w:rPr>
          <w:snapToGrid w:val="0"/>
          <w:color w:val="000000" w:themeColor="text1"/>
          <w:kern w:val="0"/>
          <w:sz w:val="28"/>
          <w:szCs w:val="24"/>
        </w:rPr>
        <w:t>以装置和物质特征划分评价单元。</w:t>
      </w:r>
    </w:p>
    <w:p>
      <w:pPr>
        <w:adjustRightInd w:val="0"/>
        <w:snapToGrid w:val="0"/>
        <w:spacing w:line="500" w:lineRule="exact"/>
        <w:ind w:left="561" w:leftChars="267"/>
        <w:rPr>
          <w:snapToGrid w:val="0"/>
          <w:color w:val="000000" w:themeColor="text1"/>
          <w:kern w:val="0"/>
          <w:sz w:val="28"/>
          <w:szCs w:val="24"/>
        </w:rPr>
      </w:pPr>
      <w:r>
        <w:rPr>
          <w:rFonts w:hint="eastAsia"/>
          <w:snapToGrid w:val="0"/>
          <w:color w:val="000000" w:themeColor="text1"/>
          <w:kern w:val="0"/>
          <w:sz w:val="28"/>
          <w:szCs w:val="24"/>
        </w:rPr>
        <w:t>（1）</w:t>
      </w:r>
      <w:r>
        <w:rPr>
          <w:snapToGrid w:val="0"/>
          <w:color w:val="000000" w:themeColor="text1"/>
          <w:kern w:val="0"/>
          <w:sz w:val="28"/>
          <w:szCs w:val="24"/>
        </w:rPr>
        <w:t>按装置工艺功能划分</w:t>
      </w:r>
      <w:r>
        <w:rPr>
          <w:rFonts w:hint="eastAsia"/>
          <w:snapToGrid w:val="0"/>
          <w:color w:val="000000" w:themeColor="text1"/>
          <w:kern w:val="0"/>
          <w:sz w:val="28"/>
          <w:szCs w:val="24"/>
        </w:rPr>
        <w:t>。</w:t>
      </w:r>
    </w:p>
    <w:p>
      <w:pPr>
        <w:adjustRightInd w:val="0"/>
        <w:snapToGrid w:val="0"/>
        <w:spacing w:line="500" w:lineRule="exact"/>
        <w:ind w:left="561" w:leftChars="267"/>
        <w:rPr>
          <w:snapToGrid w:val="0"/>
          <w:color w:val="000000" w:themeColor="text1"/>
          <w:kern w:val="0"/>
          <w:sz w:val="28"/>
          <w:szCs w:val="24"/>
        </w:rPr>
      </w:pPr>
      <w:r>
        <w:rPr>
          <w:rFonts w:hint="eastAsia"/>
          <w:snapToGrid w:val="0"/>
          <w:color w:val="000000" w:themeColor="text1"/>
          <w:kern w:val="0"/>
          <w:sz w:val="28"/>
          <w:szCs w:val="24"/>
        </w:rPr>
        <w:t>（2）</w:t>
      </w:r>
      <w:r>
        <w:rPr>
          <w:snapToGrid w:val="0"/>
          <w:color w:val="000000" w:themeColor="text1"/>
          <w:kern w:val="0"/>
          <w:sz w:val="28"/>
          <w:szCs w:val="24"/>
        </w:rPr>
        <w:t>按布置的相对独立性划分</w:t>
      </w:r>
      <w:r>
        <w:rPr>
          <w:rFonts w:hint="eastAsia"/>
          <w:snapToGrid w:val="0"/>
          <w:color w:val="000000" w:themeColor="text1"/>
          <w:kern w:val="0"/>
          <w:sz w:val="28"/>
          <w:szCs w:val="24"/>
        </w:rPr>
        <w:t>。</w:t>
      </w:r>
    </w:p>
    <w:p>
      <w:pPr>
        <w:adjustRightInd w:val="0"/>
        <w:snapToGrid w:val="0"/>
        <w:spacing w:line="500" w:lineRule="exact"/>
        <w:ind w:left="561" w:leftChars="267"/>
        <w:rPr>
          <w:snapToGrid w:val="0"/>
          <w:color w:val="000000" w:themeColor="text1"/>
          <w:kern w:val="0"/>
          <w:sz w:val="28"/>
          <w:szCs w:val="24"/>
        </w:rPr>
      </w:pPr>
      <w:r>
        <w:rPr>
          <w:rFonts w:hint="eastAsia"/>
          <w:snapToGrid w:val="0"/>
          <w:color w:val="000000" w:themeColor="text1"/>
          <w:kern w:val="0"/>
          <w:sz w:val="28"/>
          <w:szCs w:val="24"/>
        </w:rPr>
        <w:t>（3）</w:t>
      </w:r>
      <w:r>
        <w:rPr>
          <w:snapToGrid w:val="0"/>
          <w:color w:val="000000" w:themeColor="text1"/>
          <w:kern w:val="0"/>
          <w:sz w:val="28"/>
          <w:szCs w:val="24"/>
        </w:rPr>
        <w:t>按工艺条件划分评价单元</w:t>
      </w:r>
      <w:r>
        <w:rPr>
          <w:rFonts w:hint="eastAsia"/>
          <w:snapToGrid w:val="0"/>
          <w:color w:val="000000" w:themeColor="text1"/>
          <w:kern w:val="0"/>
          <w:sz w:val="28"/>
          <w:szCs w:val="24"/>
        </w:rPr>
        <w:t>。</w:t>
      </w:r>
    </w:p>
    <w:p>
      <w:pPr>
        <w:adjustRightInd w:val="0"/>
        <w:snapToGrid w:val="0"/>
        <w:spacing w:line="500" w:lineRule="exact"/>
        <w:ind w:firstLine="560" w:firstLineChars="200"/>
        <w:rPr>
          <w:snapToGrid w:val="0"/>
          <w:color w:val="000000" w:themeColor="text1"/>
          <w:kern w:val="0"/>
          <w:sz w:val="28"/>
          <w:szCs w:val="24"/>
        </w:rPr>
      </w:pPr>
      <w:r>
        <w:rPr>
          <w:rFonts w:hint="eastAsia"/>
          <w:snapToGrid w:val="0"/>
          <w:color w:val="000000" w:themeColor="text1"/>
          <w:kern w:val="0"/>
          <w:sz w:val="28"/>
          <w:szCs w:val="24"/>
        </w:rPr>
        <w:t>（4）</w:t>
      </w:r>
      <w:r>
        <w:rPr>
          <w:snapToGrid w:val="0"/>
          <w:color w:val="000000" w:themeColor="text1"/>
          <w:kern w:val="0"/>
          <w:sz w:val="28"/>
          <w:szCs w:val="24"/>
        </w:rPr>
        <w:t>按贮存、处理危险物品的潜在化学能、毒性和危险物品的数量划分评价单元</w:t>
      </w:r>
      <w:r>
        <w:rPr>
          <w:rFonts w:hint="eastAsia"/>
          <w:snapToGrid w:val="0"/>
          <w:color w:val="000000" w:themeColor="text1"/>
          <w:kern w:val="0"/>
          <w:sz w:val="28"/>
          <w:szCs w:val="24"/>
        </w:rPr>
        <w:t>。</w:t>
      </w:r>
    </w:p>
    <w:p>
      <w:pPr>
        <w:adjustRightInd w:val="0"/>
        <w:snapToGrid w:val="0"/>
        <w:spacing w:line="500" w:lineRule="exact"/>
        <w:ind w:firstLine="560" w:firstLineChars="200"/>
        <w:rPr>
          <w:snapToGrid w:val="0"/>
          <w:color w:val="000000" w:themeColor="text1"/>
          <w:kern w:val="0"/>
          <w:sz w:val="28"/>
          <w:szCs w:val="24"/>
        </w:rPr>
      </w:pPr>
      <w:r>
        <w:rPr>
          <w:rFonts w:hint="eastAsia"/>
          <w:snapToGrid w:val="0"/>
          <w:color w:val="000000" w:themeColor="text1"/>
          <w:kern w:val="0"/>
          <w:sz w:val="28"/>
          <w:szCs w:val="24"/>
        </w:rPr>
        <w:t>（5）</w:t>
      </w:r>
      <w:r>
        <w:rPr>
          <w:snapToGrid w:val="0"/>
          <w:color w:val="000000" w:themeColor="text1"/>
          <w:kern w:val="0"/>
          <w:sz w:val="28"/>
          <w:szCs w:val="24"/>
        </w:rPr>
        <w:t>根据以往事故资料，将发生事故能导致停产、波及范围大、造成巨大损失和伤害的关键设备作为一个单元</w:t>
      </w:r>
      <w:r>
        <w:rPr>
          <w:rFonts w:hint="eastAsia"/>
          <w:snapToGrid w:val="0"/>
          <w:color w:val="000000" w:themeColor="text1"/>
          <w:kern w:val="0"/>
          <w:sz w:val="28"/>
          <w:szCs w:val="24"/>
        </w:rPr>
        <w:t>。</w:t>
      </w:r>
    </w:p>
    <w:p>
      <w:pPr>
        <w:adjustRightInd w:val="0"/>
        <w:snapToGrid w:val="0"/>
        <w:spacing w:line="500" w:lineRule="exact"/>
        <w:ind w:firstLine="560" w:firstLineChars="200"/>
        <w:rPr>
          <w:snapToGrid w:val="0"/>
          <w:color w:val="000000" w:themeColor="text1"/>
          <w:kern w:val="0"/>
          <w:sz w:val="28"/>
          <w:szCs w:val="24"/>
        </w:rPr>
      </w:pPr>
      <w:r>
        <w:rPr>
          <w:rFonts w:hint="eastAsia"/>
          <w:snapToGrid w:val="0"/>
          <w:color w:val="000000" w:themeColor="text1"/>
          <w:kern w:val="0"/>
          <w:sz w:val="28"/>
          <w:szCs w:val="24"/>
        </w:rPr>
        <w:t>（6）</w:t>
      </w:r>
      <w:r>
        <w:rPr>
          <w:snapToGrid w:val="0"/>
          <w:color w:val="000000" w:themeColor="text1"/>
          <w:kern w:val="0"/>
          <w:sz w:val="28"/>
          <w:szCs w:val="24"/>
        </w:rPr>
        <w:t>将危险性大且资金密度大的区域作为一个评价单元</w:t>
      </w:r>
      <w:r>
        <w:rPr>
          <w:rFonts w:hint="eastAsia"/>
          <w:snapToGrid w:val="0"/>
          <w:color w:val="000000" w:themeColor="text1"/>
          <w:kern w:val="0"/>
          <w:sz w:val="28"/>
          <w:szCs w:val="24"/>
        </w:rPr>
        <w:t>。</w:t>
      </w:r>
    </w:p>
    <w:p>
      <w:pPr>
        <w:adjustRightInd w:val="0"/>
        <w:snapToGrid w:val="0"/>
        <w:spacing w:line="500" w:lineRule="exact"/>
        <w:ind w:firstLine="560" w:firstLineChars="200"/>
        <w:rPr>
          <w:snapToGrid w:val="0"/>
          <w:color w:val="000000" w:themeColor="text1"/>
          <w:kern w:val="0"/>
          <w:sz w:val="28"/>
          <w:szCs w:val="24"/>
        </w:rPr>
      </w:pPr>
      <w:r>
        <w:rPr>
          <w:rFonts w:hint="eastAsia"/>
          <w:snapToGrid w:val="0"/>
          <w:color w:val="000000" w:themeColor="text1"/>
          <w:kern w:val="0"/>
          <w:sz w:val="28"/>
          <w:szCs w:val="24"/>
        </w:rPr>
        <w:t>（7）</w:t>
      </w:r>
      <w:r>
        <w:rPr>
          <w:snapToGrid w:val="0"/>
          <w:color w:val="000000" w:themeColor="text1"/>
          <w:kern w:val="0"/>
          <w:sz w:val="28"/>
          <w:szCs w:val="24"/>
        </w:rPr>
        <w:t>将危险性特别大的区域、装置作为一个评价单元</w:t>
      </w:r>
      <w:r>
        <w:rPr>
          <w:rFonts w:hint="eastAsia"/>
          <w:snapToGrid w:val="0"/>
          <w:color w:val="000000" w:themeColor="text1"/>
          <w:kern w:val="0"/>
          <w:sz w:val="28"/>
          <w:szCs w:val="24"/>
        </w:rPr>
        <w:t>。</w:t>
      </w:r>
    </w:p>
    <w:p>
      <w:pPr>
        <w:adjustRightInd w:val="0"/>
        <w:snapToGrid w:val="0"/>
        <w:spacing w:line="500" w:lineRule="exact"/>
        <w:ind w:firstLine="560" w:firstLineChars="200"/>
        <w:rPr>
          <w:snapToGrid w:val="0"/>
          <w:color w:val="000000" w:themeColor="text1"/>
          <w:kern w:val="0"/>
          <w:sz w:val="28"/>
          <w:szCs w:val="24"/>
        </w:rPr>
      </w:pPr>
      <w:r>
        <w:rPr>
          <w:rFonts w:hint="eastAsia"/>
          <w:snapToGrid w:val="0"/>
          <w:color w:val="000000" w:themeColor="text1"/>
          <w:kern w:val="0"/>
          <w:sz w:val="28"/>
          <w:szCs w:val="24"/>
        </w:rPr>
        <w:t>（8）</w:t>
      </w:r>
      <w:r>
        <w:rPr>
          <w:snapToGrid w:val="0"/>
          <w:color w:val="000000" w:themeColor="text1"/>
          <w:kern w:val="0"/>
          <w:sz w:val="28"/>
          <w:szCs w:val="24"/>
        </w:rPr>
        <w:t>将具有类似危险性潜能的单元合并为一个大单元。</w:t>
      </w:r>
    </w:p>
    <w:p>
      <w:pPr>
        <w:pStyle w:val="19"/>
        <w:spacing w:afterLines="100" w:line="500" w:lineRule="exact"/>
        <w:rPr>
          <w:rFonts w:ascii="黑体" w:hAnsi="宋体" w:eastAsia="黑体"/>
          <w:color w:val="000000" w:themeColor="text1"/>
          <w:kern w:val="3"/>
          <w:sz w:val="28"/>
          <w:szCs w:val="28"/>
        </w:rPr>
      </w:pPr>
      <w:bookmarkStart w:id="1494" w:name="_Toc6676"/>
      <w:bookmarkStart w:id="1495" w:name="_Toc1609"/>
      <w:bookmarkStart w:id="1496" w:name="_Toc191730036"/>
      <w:bookmarkStart w:id="1497" w:name="_Toc25804"/>
      <w:bookmarkStart w:id="1498" w:name="_Toc7557"/>
      <w:bookmarkStart w:id="1499" w:name="_Toc14922"/>
      <w:bookmarkStart w:id="1500" w:name="_Toc191729752"/>
      <w:bookmarkStart w:id="1501" w:name="_Toc26388"/>
      <w:bookmarkStart w:id="1502" w:name="_Toc217444236"/>
      <w:bookmarkStart w:id="1503" w:name="_Toc151353655"/>
      <w:bookmarkStart w:id="1504" w:name="_Toc191728192"/>
      <w:bookmarkStart w:id="1505" w:name="_Toc194389950"/>
      <w:bookmarkStart w:id="1506" w:name="_Toc704"/>
      <w:bookmarkStart w:id="1507" w:name="_Toc3646"/>
      <w:bookmarkStart w:id="1508" w:name="_Toc4254"/>
      <w:bookmarkStart w:id="1509" w:name="_Toc10467"/>
      <w:bookmarkStart w:id="1510" w:name="_Toc1133"/>
      <w:r>
        <w:rPr>
          <w:rFonts w:hint="eastAsia" w:ascii="黑体" w:hAnsi="宋体" w:eastAsia="黑体"/>
          <w:color w:val="000000" w:themeColor="text1"/>
          <w:kern w:val="3"/>
          <w:sz w:val="28"/>
          <w:szCs w:val="28"/>
        </w:rPr>
        <w:t>4.1.3评价单元的划分</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pPr>
        <w:pStyle w:val="28"/>
        <w:widowControl/>
        <w:tabs>
          <w:tab w:val="left" w:pos="112"/>
        </w:tabs>
        <w:adjustRightInd/>
        <w:rPr>
          <w:rFonts w:ascii="Times New Roman" w:hAnsi="Times New Roman"/>
          <w:bCs/>
          <w:color w:val="000000" w:themeColor="text1"/>
          <w:szCs w:val="28"/>
        </w:rPr>
      </w:pPr>
      <w:r>
        <w:rPr>
          <w:rFonts w:ascii="Times New Roman" w:hAnsi="Times New Roman"/>
          <w:bCs/>
          <w:color w:val="000000" w:themeColor="text1"/>
          <w:szCs w:val="28"/>
        </w:rPr>
        <w:t>根据</w:t>
      </w:r>
      <w:r>
        <w:rPr>
          <w:rFonts w:hint="eastAsia" w:ascii="Times New Roman" w:hAnsi="Times New Roman"/>
          <w:bCs/>
          <w:color w:val="000000" w:themeColor="text1"/>
          <w:szCs w:val="28"/>
        </w:rPr>
        <w:t>昭通市耀晨甲醇醇油有限公司</w:t>
      </w:r>
      <w:r>
        <w:rPr>
          <w:rFonts w:ascii="Times New Roman" w:hAnsi="Times New Roman"/>
          <w:bCs/>
          <w:color w:val="000000" w:themeColor="text1"/>
          <w:szCs w:val="28"/>
        </w:rPr>
        <w:t>经营储存甲醇过程中存在的主要危险、有害因素的性质和特点，将该项目划为以下评价单元：</w:t>
      </w:r>
    </w:p>
    <w:p>
      <w:pPr>
        <w:pStyle w:val="28"/>
        <w:widowControl/>
        <w:tabs>
          <w:tab w:val="left" w:pos="112"/>
        </w:tabs>
        <w:adjustRightInd/>
        <w:ind w:left="560" w:firstLine="0" w:firstLineChars="0"/>
        <w:rPr>
          <w:rFonts w:ascii="Times New Roman" w:hAnsi="Times New Roman"/>
          <w:bCs/>
          <w:color w:val="000000" w:themeColor="text1"/>
          <w:szCs w:val="28"/>
        </w:rPr>
      </w:pPr>
      <w:r>
        <w:rPr>
          <w:rFonts w:ascii="Times New Roman" w:hAnsi="Times New Roman"/>
          <w:bCs/>
          <w:color w:val="000000" w:themeColor="text1"/>
          <w:szCs w:val="28"/>
        </w:rPr>
        <w:t>1</w:t>
      </w:r>
      <w:r>
        <w:rPr>
          <w:rFonts w:hint="eastAsia" w:ascii="Times New Roman" w:hAnsi="Times New Roman"/>
          <w:bCs/>
          <w:color w:val="000000" w:themeColor="text1"/>
          <w:szCs w:val="28"/>
        </w:rPr>
        <w:t>.</w:t>
      </w:r>
      <w:r>
        <w:rPr>
          <w:rFonts w:ascii="Times New Roman" w:hAnsi="Times New Roman"/>
          <w:bCs/>
          <w:color w:val="000000" w:themeColor="text1"/>
          <w:szCs w:val="28"/>
        </w:rPr>
        <w:t>厂址及总平面布置评价单元；</w:t>
      </w:r>
    </w:p>
    <w:p>
      <w:pPr>
        <w:pStyle w:val="28"/>
        <w:widowControl/>
        <w:tabs>
          <w:tab w:val="left" w:pos="112"/>
        </w:tabs>
        <w:adjustRightInd/>
        <w:ind w:left="560" w:firstLine="0" w:firstLineChars="0"/>
        <w:rPr>
          <w:rFonts w:ascii="Times New Roman" w:hAnsi="Times New Roman"/>
          <w:bCs/>
          <w:color w:val="000000" w:themeColor="text1"/>
          <w:szCs w:val="28"/>
        </w:rPr>
      </w:pPr>
      <w:r>
        <w:rPr>
          <w:rFonts w:hint="eastAsia"/>
          <w:color w:val="000000" w:themeColor="text1"/>
          <w:szCs w:val="24"/>
        </w:rPr>
        <w:t>（1）</w:t>
      </w:r>
      <w:r>
        <w:rPr>
          <w:rFonts w:ascii="Times New Roman" w:hAnsi="Times New Roman"/>
          <w:bCs/>
          <w:color w:val="000000" w:themeColor="text1"/>
          <w:szCs w:val="28"/>
        </w:rPr>
        <w:t>厂址</w:t>
      </w:r>
      <w:r>
        <w:rPr>
          <w:rFonts w:hint="eastAsia" w:ascii="Times New Roman" w:hAnsi="Times New Roman"/>
          <w:bCs/>
          <w:color w:val="000000" w:themeColor="text1"/>
          <w:szCs w:val="28"/>
          <w:lang w:val="en-US" w:eastAsia="zh-CN"/>
        </w:rPr>
        <w:t>安全</w:t>
      </w:r>
      <w:r>
        <w:rPr>
          <w:rFonts w:ascii="Times New Roman" w:hAnsi="Times New Roman"/>
          <w:bCs/>
          <w:color w:val="000000" w:themeColor="text1"/>
          <w:szCs w:val="28"/>
        </w:rPr>
        <w:t>评价评价子单元</w:t>
      </w:r>
      <w:r>
        <w:rPr>
          <w:rFonts w:hint="eastAsia" w:ascii="Times New Roman" w:hAnsi="Times New Roman"/>
          <w:bCs/>
          <w:color w:val="000000" w:themeColor="text1"/>
          <w:szCs w:val="28"/>
        </w:rPr>
        <w:t>。</w:t>
      </w:r>
    </w:p>
    <w:p>
      <w:pPr>
        <w:pStyle w:val="28"/>
        <w:widowControl/>
        <w:tabs>
          <w:tab w:val="left" w:pos="112"/>
        </w:tabs>
        <w:adjustRightInd/>
        <w:ind w:left="560" w:firstLine="0" w:firstLineChars="0"/>
        <w:rPr>
          <w:rFonts w:ascii="Times New Roman" w:hAnsi="Times New Roman"/>
          <w:bCs/>
          <w:color w:val="000000" w:themeColor="text1"/>
          <w:szCs w:val="28"/>
        </w:rPr>
      </w:pPr>
      <w:r>
        <w:rPr>
          <w:rFonts w:hint="eastAsia"/>
          <w:color w:val="000000" w:themeColor="text1"/>
          <w:szCs w:val="24"/>
        </w:rPr>
        <w:t>（2）</w:t>
      </w:r>
      <w:r>
        <w:rPr>
          <w:rFonts w:ascii="Times New Roman" w:hAnsi="Times New Roman"/>
          <w:bCs/>
          <w:color w:val="000000" w:themeColor="text1"/>
          <w:szCs w:val="28"/>
        </w:rPr>
        <w:t>总平面布置</w:t>
      </w:r>
      <w:r>
        <w:rPr>
          <w:rFonts w:hint="eastAsia" w:ascii="Times New Roman" w:hAnsi="Times New Roman"/>
          <w:bCs/>
          <w:color w:val="000000" w:themeColor="text1"/>
          <w:szCs w:val="28"/>
          <w:lang w:val="en-US" w:eastAsia="zh-CN"/>
        </w:rPr>
        <w:t>安全</w:t>
      </w:r>
      <w:r>
        <w:rPr>
          <w:rFonts w:ascii="Times New Roman" w:hAnsi="Times New Roman"/>
          <w:bCs/>
          <w:color w:val="000000" w:themeColor="text1"/>
          <w:szCs w:val="28"/>
        </w:rPr>
        <w:t>评价子单元</w:t>
      </w:r>
      <w:r>
        <w:rPr>
          <w:rFonts w:hint="eastAsia" w:ascii="Times New Roman" w:hAnsi="Times New Roman"/>
          <w:bCs/>
          <w:color w:val="000000" w:themeColor="text1"/>
          <w:szCs w:val="28"/>
        </w:rPr>
        <w:t>。</w:t>
      </w:r>
    </w:p>
    <w:p>
      <w:pPr>
        <w:pStyle w:val="28"/>
        <w:widowControl/>
        <w:tabs>
          <w:tab w:val="left" w:pos="112"/>
        </w:tabs>
        <w:adjustRightInd/>
        <w:ind w:left="560" w:firstLine="0" w:firstLineChars="0"/>
        <w:rPr>
          <w:rFonts w:ascii="Times New Roman" w:hAnsi="Times New Roman"/>
          <w:bCs/>
          <w:color w:val="000000" w:themeColor="text1"/>
          <w:szCs w:val="28"/>
        </w:rPr>
      </w:pPr>
      <w:r>
        <w:rPr>
          <w:rFonts w:ascii="Times New Roman" w:hAnsi="Times New Roman"/>
          <w:bCs/>
          <w:color w:val="000000" w:themeColor="text1"/>
          <w:szCs w:val="28"/>
        </w:rPr>
        <w:t>2</w:t>
      </w:r>
      <w:r>
        <w:rPr>
          <w:rFonts w:hint="eastAsia" w:ascii="Times New Roman" w:hAnsi="Times New Roman"/>
          <w:bCs/>
          <w:color w:val="000000" w:themeColor="text1"/>
          <w:szCs w:val="28"/>
        </w:rPr>
        <w:t>.</w:t>
      </w:r>
      <w:r>
        <w:rPr>
          <w:rFonts w:ascii="Times New Roman" w:hAnsi="Times New Roman"/>
          <w:bCs/>
          <w:color w:val="000000" w:themeColor="text1"/>
          <w:szCs w:val="28"/>
        </w:rPr>
        <w:t>甲醇储存工艺设备、设施单元</w:t>
      </w:r>
      <w:r>
        <w:rPr>
          <w:rFonts w:hint="eastAsia" w:ascii="Times New Roman" w:hAnsi="Times New Roman"/>
          <w:bCs/>
          <w:color w:val="000000" w:themeColor="text1"/>
          <w:szCs w:val="28"/>
          <w:lang w:val="en-US" w:eastAsia="zh-CN"/>
        </w:rPr>
        <w:t>分析评价</w:t>
      </w:r>
      <w:r>
        <w:rPr>
          <w:rFonts w:ascii="Times New Roman" w:hAnsi="Times New Roman"/>
          <w:bCs/>
          <w:color w:val="000000" w:themeColor="text1"/>
          <w:szCs w:val="28"/>
        </w:rPr>
        <w:t>；</w:t>
      </w:r>
    </w:p>
    <w:p>
      <w:pPr>
        <w:pStyle w:val="28"/>
        <w:widowControl/>
        <w:tabs>
          <w:tab w:val="left" w:pos="112"/>
        </w:tabs>
        <w:adjustRightInd/>
        <w:rPr>
          <w:rFonts w:ascii="Times New Roman" w:hAnsi="Times New Roman"/>
          <w:bCs/>
          <w:color w:val="000000" w:themeColor="text1"/>
          <w:szCs w:val="28"/>
        </w:rPr>
      </w:pPr>
      <w:r>
        <w:rPr>
          <w:rFonts w:ascii="Times New Roman" w:hAnsi="Times New Roman"/>
          <w:bCs/>
          <w:color w:val="000000" w:themeColor="text1"/>
          <w:szCs w:val="28"/>
        </w:rPr>
        <w:t>3</w:t>
      </w:r>
      <w:r>
        <w:rPr>
          <w:rFonts w:hint="eastAsia" w:ascii="Times New Roman" w:hAnsi="Times New Roman"/>
          <w:bCs/>
          <w:color w:val="000000" w:themeColor="text1"/>
          <w:szCs w:val="28"/>
        </w:rPr>
        <w:t>.</w:t>
      </w:r>
      <w:r>
        <w:rPr>
          <w:rFonts w:ascii="Times New Roman" w:hAnsi="Times New Roman"/>
          <w:bCs/>
          <w:color w:val="000000" w:themeColor="text1"/>
          <w:szCs w:val="28"/>
        </w:rPr>
        <w:t>公辅设施评价单元；</w:t>
      </w:r>
    </w:p>
    <w:p>
      <w:pPr>
        <w:pStyle w:val="28"/>
        <w:widowControl/>
        <w:tabs>
          <w:tab w:val="left" w:pos="112"/>
        </w:tabs>
        <w:adjustRightInd/>
        <w:rPr>
          <w:rFonts w:ascii="Times New Roman" w:hAnsi="Times New Roman"/>
          <w:bCs/>
          <w:color w:val="000000" w:themeColor="text1"/>
          <w:szCs w:val="28"/>
        </w:rPr>
      </w:pPr>
      <w:r>
        <w:rPr>
          <w:rFonts w:hint="eastAsia"/>
          <w:color w:val="000000" w:themeColor="text1"/>
          <w:szCs w:val="24"/>
        </w:rPr>
        <w:t>（1）</w:t>
      </w:r>
      <w:r>
        <w:rPr>
          <w:rFonts w:ascii="Times New Roman" w:hAnsi="Times New Roman"/>
          <w:bCs/>
          <w:color w:val="000000" w:themeColor="text1"/>
          <w:szCs w:val="28"/>
        </w:rPr>
        <w:t>供配电评价子单元</w:t>
      </w:r>
      <w:r>
        <w:rPr>
          <w:rFonts w:hint="eastAsia" w:ascii="Times New Roman" w:hAnsi="Times New Roman"/>
          <w:bCs/>
          <w:color w:val="000000" w:themeColor="text1"/>
          <w:szCs w:val="28"/>
        </w:rPr>
        <w:t>。</w:t>
      </w:r>
    </w:p>
    <w:p>
      <w:pPr>
        <w:pStyle w:val="28"/>
        <w:widowControl/>
        <w:tabs>
          <w:tab w:val="left" w:pos="112"/>
        </w:tabs>
        <w:adjustRightInd/>
        <w:rPr>
          <w:rFonts w:ascii="Times New Roman" w:hAnsi="Times New Roman"/>
          <w:bCs/>
          <w:color w:val="000000" w:themeColor="text1"/>
          <w:szCs w:val="28"/>
        </w:rPr>
      </w:pPr>
      <w:r>
        <w:rPr>
          <w:rFonts w:hint="eastAsia"/>
          <w:color w:val="000000" w:themeColor="text1"/>
          <w:szCs w:val="24"/>
        </w:rPr>
        <w:t>（2）</w:t>
      </w:r>
      <w:r>
        <w:rPr>
          <w:rFonts w:ascii="Times New Roman" w:hAnsi="Times New Roman"/>
          <w:bCs/>
          <w:color w:val="000000" w:themeColor="text1"/>
          <w:szCs w:val="28"/>
        </w:rPr>
        <w:t>消防、给排水评价子单元</w:t>
      </w:r>
      <w:r>
        <w:rPr>
          <w:rFonts w:hint="eastAsia" w:ascii="Times New Roman" w:hAnsi="Times New Roman"/>
          <w:bCs/>
          <w:color w:val="000000" w:themeColor="text1"/>
          <w:szCs w:val="28"/>
        </w:rPr>
        <w:t>。</w:t>
      </w:r>
    </w:p>
    <w:p>
      <w:pPr>
        <w:pStyle w:val="28"/>
        <w:widowControl/>
        <w:tabs>
          <w:tab w:val="left" w:pos="112"/>
        </w:tabs>
        <w:adjustRightInd/>
        <w:rPr>
          <w:rFonts w:ascii="Times New Roman" w:hAnsi="Times New Roman"/>
          <w:bCs/>
          <w:color w:val="000000" w:themeColor="text1"/>
          <w:szCs w:val="28"/>
        </w:rPr>
      </w:pPr>
      <w:r>
        <w:rPr>
          <w:rFonts w:hint="eastAsia"/>
          <w:color w:val="000000" w:themeColor="text1"/>
          <w:szCs w:val="24"/>
        </w:rPr>
        <w:t>（3）</w:t>
      </w:r>
      <w:r>
        <w:rPr>
          <w:rFonts w:ascii="Times New Roman" w:hAnsi="Times New Roman"/>
          <w:bCs/>
          <w:color w:val="000000" w:themeColor="text1"/>
          <w:szCs w:val="28"/>
        </w:rPr>
        <w:t>防雷、防静电装置评价子单元</w:t>
      </w:r>
      <w:r>
        <w:rPr>
          <w:rFonts w:hint="eastAsia" w:ascii="Times New Roman" w:hAnsi="Times New Roman"/>
          <w:bCs/>
          <w:color w:val="000000" w:themeColor="text1"/>
          <w:szCs w:val="28"/>
        </w:rPr>
        <w:t>。</w:t>
      </w:r>
    </w:p>
    <w:p>
      <w:pPr>
        <w:pStyle w:val="28"/>
        <w:widowControl/>
        <w:tabs>
          <w:tab w:val="left" w:pos="112"/>
        </w:tabs>
        <w:adjustRightInd/>
        <w:rPr>
          <w:rFonts w:ascii="Times New Roman" w:hAnsi="Times New Roman"/>
          <w:bCs/>
          <w:color w:val="000000" w:themeColor="text1"/>
          <w:szCs w:val="28"/>
        </w:rPr>
      </w:pPr>
      <w:r>
        <w:rPr>
          <w:rFonts w:ascii="Times New Roman" w:hAnsi="Times New Roman"/>
          <w:bCs/>
          <w:color w:val="000000" w:themeColor="text1"/>
          <w:szCs w:val="28"/>
        </w:rPr>
        <w:t>4</w:t>
      </w:r>
      <w:r>
        <w:rPr>
          <w:rFonts w:hint="eastAsia" w:ascii="Times New Roman" w:hAnsi="Times New Roman"/>
          <w:bCs/>
          <w:color w:val="000000" w:themeColor="text1"/>
          <w:szCs w:val="28"/>
        </w:rPr>
        <w:t>.</w:t>
      </w:r>
      <w:r>
        <w:rPr>
          <w:rFonts w:ascii="Times New Roman" w:hAnsi="Times New Roman"/>
          <w:bCs/>
          <w:color w:val="000000" w:themeColor="text1"/>
          <w:szCs w:val="28"/>
        </w:rPr>
        <w:t>安全设施评价单元；</w:t>
      </w:r>
    </w:p>
    <w:p>
      <w:pPr>
        <w:pStyle w:val="28"/>
        <w:widowControl/>
        <w:tabs>
          <w:tab w:val="left" w:pos="112"/>
        </w:tabs>
        <w:adjustRightInd/>
        <w:rPr>
          <w:rFonts w:hint="eastAsia" w:ascii="Times New Roman" w:hAnsi="Times New Roman"/>
          <w:bCs/>
          <w:color w:val="000000" w:themeColor="text1"/>
          <w:szCs w:val="28"/>
          <w:lang w:eastAsia="zh-CN"/>
        </w:rPr>
      </w:pPr>
      <w:r>
        <w:rPr>
          <w:rFonts w:ascii="Times New Roman" w:hAnsi="Times New Roman"/>
          <w:bCs/>
          <w:color w:val="000000" w:themeColor="text1"/>
          <w:szCs w:val="28"/>
        </w:rPr>
        <w:t>5</w:t>
      </w:r>
      <w:r>
        <w:rPr>
          <w:rFonts w:hint="eastAsia" w:ascii="Times New Roman" w:hAnsi="Times New Roman"/>
          <w:bCs/>
          <w:color w:val="000000" w:themeColor="text1"/>
          <w:szCs w:val="28"/>
        </w:rPr>
        <w:t>.</w:t>
      </w:r>
      <w:r>
        <w:rPr>
          <w:rFonts w:ascii="Times New Roman" w:hAnsi="Times New Roman"/>
          <w:bCs/>
          <w:color w:val="000000" w:themeColor="text1"/>
          <w:szCs w:val="28"/>
        </w:rPr>
        <w:t>安全管理评价单元</w:t>
      </w:r>
      <w:r>
        <w:rPr>
          <w:rFonts w:hint="eastAsia" w:ascii="Times New Roman" w:hAnsi="Times New Roman"/>
          <w:bCs/>
          <w:color w:val="000000" w:themeColor="text1"/>
          <w:szCs w:val="28"/>
          <w:lang w:eastAsia="zh-CN"/>
        </w:rPr>
        <w:t>；</w:t>
      </w:r>
    </w:p>
    <w:p>
      <w:pPr>
        <w:ind w:firstLine="560" w:firstLineChars="200"/>
        <w:rPr>
          <w:rFonts w:ascii="宋体" w:hAnsi="宋体"/>
          <w:color w:val="000000"/>
          <w:sz w:val="28"/>
        </w:rPr>
      </w:pPr>
      <w:r>
        <w:rPr>
          <w:rFonts w:hint="eastAsia" w:ascii="宋体" w:hAnsi="宋体"/>
          <w:color w:val="000000"/>
          <w:sz w:val="28"/>
          <w:lang w:val="en-US" w:eastAsia="zh-CN"/>
        </w:rPr>
        <w:t>6</w:t>
      </w:r>
      <w:r>
        <w:rPr>
          <w:rFonts w:ascii="宋体" w:hAnsi="宋体"/>
          <w:color w:val="000000"/>
          <w:sz w:val="28"/>
        </w:rPr>
        <w:t>.</w:t>
      </w:r>
      <w:r>
        <w:rPr>
          <w:rFonts w:hint="eastAsia" w:ascii="宋体" w:hAnsi="宋体"/>
          <w:color w:val="000000"/>
          <w:sz w:val="28"/>
        </w:rPr>
        <w:t>重大隐患判定及安全经营条件单元</w:t>
      </w:r>
      <w:r>
        <w:rPr>
          <w:rFonts w:ascii="宋体" w:hAnsi="宋体"/>
          <w:color w:val="000000"/>
          <w:sz w:val="28"/>
        </w:rPr>
        <w:t>。</w:t>
      </w:r>
    </w:p>
    <w:p>
      <w:pPr>
        <w:pStyle w:val="19"/>
        <w:spacing w:afterLines="100" w:line="500" w:lineRule="exact"/>
        <w:jc w:val="center"/>
        <w:rPr>
          <w:rFonts w:ascii="楷体_GB2312" w:hAnsi="宋体" w:eastAsia="楷体_GB2312"/>
          <w:color w:val="000000" w:themeColor="text1"/>
          <w:kern w:val="3"/>
        </w:rPr>
      </w:pPr>
      <w:bookmarkStart w:id="1511" w:name="_Toc23444"/>
      <w:bookmarkStart w:id="1512" w:name="_Toc12133"/>
      <w:bookmarkStart w:id="1513" w:name="_Toc10093"/>
      <w:bookmarkStart w:id="1514" w:name="_Toc191729753"/>
      <w:bookmarkStart w:id="1515" w:name="_Toc191728193"/>
      <w:bookmarkStart w:id="1516" w:name="_Toc15201"/>
      <w:bookmarkStart w:id="1517" w:name="_Toc6032"/>
      <w:bookmarkStart w:id="1518" w:name="_Toc15612"/>
      <w:bookmarkStart w:id="1519" w:name="_Toc15018"/>
      <w:bookmarkStart w:id="1520" w:name="_Toc1070"/>
      <w:bookmarkStart w:id="1521" w:name="_Toc8455_WPSOffice_Level2"/>
      <w:bookmarkStart w:id="1522" w:name="_Toc27453"/>
      <w:bookmarkStart w:id="1523" w:name="_Toc31710"/>
      <w:bookmarkStart w:id="1524" w:name="_Toc11760"/>
      <w:bookmarkStart w:id="1525" w:name="_Toc22428"/>
      <w:bookmarkStart w:id="1526" w:name="_Toc26933"/>
      <w:bookmarkStart w:id="1527" w:name="_Toc217444237"/>
      <w:bookmarkStart w:id="1528" w:name="_Toc191730037"/>
      <w:bookmarkStart w:id="1529" w:name="_Toc3773"/>
      <w:bookmarkStart w:id="1530" w:name="_Toc26789"/>
      <w:bookmarkStart w:id="1531" w:name="_Toc194389951"/>
      <w:bookmarkStart w:id="1532" w:name="_Toc18171"/>
      <w:r>
        <w:rPr>
          <w:rFonts w:hint="eastAsia" w:ascii="楷体_GB2312" w:hAnsi="宋体" w:eastAsia="楷体_GB2312"/>
          <w:color w:val="000000" w:themeColor="text1"/>
          <w:kern w:val="3"/>
        </w:rPr>
        <w:t>4.2评价方法的选择</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pPr>
        <w:adjustRightInd w:val="0"/>
        <w:snapToGrid w:val="0"/>
        <w:spacing w:line="480" w:lineRule="exact"/>
        <w:ind w:firstLine="560" w:firstLineChars="200"/>
        <w:rPr>
          <w:rFonts w:eastAsiaTheme="minorEastAsia"/>
          <w:snapToGrid w:val="0"/>
          <w:color w:val="000000" w:themeColor="text1"/>
          <w:kern w:val="0"/>
          <w:sz w:val="28"/>
          <w:szCs w:val="28"/>
        </w:rPr>
      </w:pPr>
      <w:r>
        <w:rPr>
          <w:snapToGrid w:val="0"/>
          <w:color w:val="000000" w:themeColor="text1"/>
          <w:kern w:val="0"/>
          <w:sz w:val="28"/>
        </w:rPr>
        <w:t>安全评价方法是对系统的危险、有害因素及其危险、危害程度进行分析、评价的方法。</w:t>
      </w:r>
      <w:r>
        <w:rPr>
          <w:snapToGrid w:val="0"/>
          <w:color w:val="000000" w:themeColor="text1"/>
          <w:kern w:val="0"/>
          <w:sz w:val="28"/>
          <w:szCs w:val="28"/>
        </w:rPr>
        <w:t>目前，已开发出数十种不同特点、适用不同范围和应用条件的评价</w:t>
      </w:r>
      <w:r>
        <w:rPr>
          <w:rFonts w:eastAsiaTheme="minorEastAsia"/>
          <w:snapToGrid w:val="0"/>
          <w:color w:val="000000" w:themeColor="text1"/>
          <w:kern w:val="0"/>
          <w:sz w:val="28"/>
          <w:szCs w:val="28"/>
        </w:rPr>
        <w:t>方法。按其特性可分为定性安全评价和定量安全评价。</w:t>
      </w:r>
    </w:p>
    <w:p>
      <w:pPr>
        <w:adjustRightInd w:val="0"/>
        <w:snapToGrid w:val="0"/>
        <w:spacing w:line="48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鉴于被评价单位的实际情况和从评价效果出发，在实施评价时，我们采用的评价方法主要是安全检查表法（SCA）、LEC法、危险度评价法。</w:t>
      </w:r>
    </w:p>
    <w:p>
      <w:pPr>
        <w:pStyle w:val="19"/>
        <w:spacing w:afterLines="100" w:line="500" w:lineRule="exact"/>
        <w:jc w:val="center"/>
        <w:rPr>
          <w:rFonts w:ascii="楷体_GB2312" w:hAnsi="宋体" w:eastAsia="楷体_GB2312"/>
          <w:color w:val="000000" w:themeColor="text1"/>
          <w:kern w:val="3"/>
        </w:rPr>
      </w:pPr>
      <w:bookmarkStart w:id="1533" w:name="_Toc208398747"/>
      <w:bookmarkStart w:id="1534" w:name="_Toc32443"/>
      <w:bookmarkStart w:id="1535" w:name="_Toc14473"/>
      <w:bookmarkStart w:id="1536" w:name="_Toc6654_WPSOffice_Level2"/>
      <w:bookmarkStart w:id="1537" w:name="_Toc16100"/>
      <w:bookmarkStart w:id="1538" w:name="_Toc1077"/>
      <w:bookmarkStart w:id="1539" w:name="_Toc12545"/>
      <w:bookmarkStart w:id="1540" w:name="_Toc2020"/>
      <w:bookmarkStart w:id="1541" w:name="_Toc12544"/>
      <w:bookmarkStart w:id="1542" w:name="_Toc7451"/>
      <w:bookmarkStart w:id="1543" w:name="_Toc19157"/>
      <w:bookmarkStart w:id="1544" w:name="_Toc25731"/>
      <w:bookmarkStart w:id="1545" w:name="_Toc32181"/>
      <w:bookmarkStart w:id="1546" w:name="_Toc16262"/>
      <w:bookmarkStart w:id="1547" w:name="_Toc7723"/>
      <w:bookmarkStart w:id="1548" w:name="_Toc30462"/>
      <w:bookmarkStart w:id="1549" w:name="_Toc31629"/>
      <w:bookmarkStart w:id="1550" w:name="_Toc17084"/>
      <w:r>
        <w:rPr>
          <w:rFonts w:hint="eastAsia" w:ascii="楷体_GB2312" w:hAnsi="宋体" w:eastAsia="楷体_GB2312"/>
          <w:color w:val="000000" w:themeColor="text1"/>
          <w:kern w:val="3"/>
        </w:rPr>
        <w:t>4.3</w:t>
      </w:r>
      <w:bookmarkEnd w:id="1533"/>
      <w:r>
        <w:rPr>
          <w:rFonts w:hint="eastAsia" w:ascii="楷体_GB2312" w:hAnsi="宋体" w:eastAsia="楷体_GB2312"/>
          <w:color w:val="000000" w:themeColor="text1"/>
          <w:kern w:val="3"/>
        </w:rPr>
        <w:t>安全评价方法简介</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pPr>
        <w:pStyle w:val="19"/>
        <w:spacing w:afterLines="100" w:line="500" w:lineRule="exact"/>
        <w:rPr>
          <w:rFonts w:ascii="黑体" w:hAnsi="宋体" w:eastAsia="黑体"/>
          <w:color w:val="000000" w:themeColor="text1"/>
          <w:kern w:val="3"/>
          <w:sz w:val="28"/>
          <w:szCs w:val="28"/>
        </w:rPr>
      </w:pPr>
      <w:bookmarkStart w:id="1551" w:name="_Toc15765"/>
      <w:bookmarkStart w:id="1552" w:name="_Toc4433"/>
      <w:bookmarkStart w:id="1553" w:name="_Toc26664"/>
      <w:bookmarkStart w:id="1554" w:name="_Toc18516"/>
      <w:bookmarkStart w:id="1555" w:name="_Toc20195"/>
      <w:bookmarkStart w:id="1556" w:name="_Toc443"/>
      <w:bookmarkStart w:id="1557" w:name="_Toc24165"/>
      <w:bookmarkStart w:id="1558" w:name="_Toc14126"/>
      <w:bookmarkStart w:id="1559" w:name="_Toc405"/>
      <w:bookmarkStart w:id="1560" w:name="_Toc4784"/>
      <w:bookmarkStart w:id="1561" w:name="_Toc286493608"/>
      <w:bookmarkStart w:id="1562" w:name="_Toc345765784"/>
      <w:r>
        <w:rPr>
          <w:rFonts w:hint="eastAsia" w:ascii="黑体" w:hAnsi="宋体" w:eastAsia="黑体"/>
          <w:color w:val="000000" w:themeColor="text1"/>
          <w:kern w:val="3"/>
          <w:sz w:val="28"/>
          <w:szCs w:val="28"/>
        </w:rPr>
        <w:t>4.3.1 安全检查表法简介</w:t>
      </w:r>
      <w:bookmarkEnd w:id="1551"/>
      <w:bookmarkEnd w:id="1552"/>
      <w:bookmarkEnd w:id="1553"/>
      <w:bookmarkEnd w:id="1554"/>
      <w:bookmarkEnd w:id="1555"/>
      <w:bookmarkEnd w:id="1556"/>
      <w:bookmarkEnd w:id="1557"/>
      <w:bookmarkEnd w:id="1558"/>
      <w:bookmarkEnd w:id="1559"/>
      <w:bookmarkEnd w:id="1560"/>
    </w:p>
    <w:p>
      <w:pPr>
        <w:spacing w:line="480" w:lineRule="exact"/>
        <w:ind w:firstLine="560" w:firstLineChars="200"/>
        <w:rPr>
          <w:color w:val="000000" w:themeColor="text1"/>
          <w:sz w:val="28"/>
        </w:rPr>
      </w:pPr>
      <w:r>
        <w:rPr>
          <w:snapToGrid w:val="0"/>
          <w:color w:val="000000" w:themeColor="text1"/>
          <w:kern w:val="0"/>
          <w:sz w:val="28"/>
          <w:szCs w:val="28"/>
        </w:rPr>
        <w:t>安全检查表实际上就是实施安全检查和诊断的项目明细表，把要检查的项目和具体要求列在表上，以备在检查和设计时按预定项目去检查。检查表的内容一般包括分类项目、检查内容及要求、检查以后处理意见等，每次检查后都应填写具体的检查情况，用“符合”、“不符合”作回答或“√”、“×”符号作标记，根据“符合”、“不符合”的比例来判定该企业是否符和安全要求。</w:t>
      </w:r>
    </w:p>
    <w:p>
      <w:pPr>
        <w:adjustRightInd w:val="0"/>
        <w:spacing w:line="500" w:lineRule="exact"/>
        <w:ind w:firstLine="560" w:firstLineChars="200"/>
        <w:rPr>
          <w:snapToGrid w:val="0"/>
          <w:color w:val="000000" w:themeColor="text1"/>
          <w:kern w:val="0"/>
          <w:sz w:val="28"/>
          <w:szCs w:val="28"/>
        </w:rPr>
      </w:pPr>
      <w:r>
        <w:rPr>
          <w:snapToGrid w:val="0"/>
          <w:color w:val="000000" w:themeColor="text1"/>
          <w:kern w:val="0"/>
          <w:sz w:val="28"/>
          <w:szCs w:val="28"/>
        </w:rPr>
        <w:t>安全检查表的优点如下：</w:t>
      </w:r>
    </w:p>
    <w:p>
      <w:pPr>
        <w:adjustRightInd w:val="0"/>
        <w:spacing w:line="500" w:lineRule="exact"/>
        <w:ind w:firstLine="560" w:firstLineChars="200"/>
        <w:rPr>
          <w:color w:val="000000" w:themeColor="text1"/>
          <w:kern w:val="0"/>
          <w:sz w:val="28"/>
          <w:szCs w:val="28"/>
        </w:rPr>
      </w:pPr>
      <w:r>
        <w:rPr>
          <w:color w:val="000000" w:themeColor="text1"/>
          <w:kern w:val="0"/>
          <w:sz w:val="28"/>
          <w:szCs w:val="28"/>
        </w:rPr>
        <w:t>1</w:t>
      </w:r>
      <w:r>
        <w:rPr>
          <w:rFonts w:hint="eastAsia"/>
          <w:color w:val="000000" w:themeColor="text1"/>
          <w:kern w:val="0"/>
          <w:sz w:val="28"/>
          <w:szCs w:val="28"/>
        </w:rPr>
        <w:t>.</w:t>
      </w:r>
      <w:r>
        <w:rPr>
          <w:color w:val="000000" w:themeColor="text1"/>
          <w:kern w:val="0"/>
          <w:sz w:val="28"/>
          <w:szCs w:val="28"/>
        </w:rPr>
        <w:t>避免传统的安全检查中易发生的疏忽、遗漏等弊端，可全面地查出危险、有害因素（包括各类隐患）和工作漏项。</w:t>
      </w:r>
    </w:p>
    <w:p>
      <w:pPr>
        <w:adjustRightInd w:val="0"/>
        <w:spacing w:line="500" w:lineRule="exact"/>
        <w:ind w:firstLine="560" w:firstLineChars="200"/>
        <w:rPr>
          <w:color w:val="000000" w:themeColor="text1"/>
          <w:kern w:val="0"/>
          <w:sz w:val="28"/>
          <w:szCs w:val="28"/>
        </w:rPr>
      </w:pPr>
      <w:r>
        <w:rPr>
          <w:color w:val="000000" w:themeColor="text1"/>
          <w:kern w:val="0"/>
          <w:sz w:val="28"/>
          <w:szCs w:val="28"/>
        </w:rPr>
        <w:t>2</w:t>
      </w:r>
      <w:r>
        <w:rPr>
          <w:rFonts w:hint="eastAsia"/>
          <w:color w:val="000000" w:themeColor="text1"/>
          <w:kern w:val="0"/>
          <w:sz w:val="28"/>
          <w:szCs w:val="28"/>
        </w:rPr>
        <w:t>.</w:t>
      </w:r>
      <w:r>
        <w:rPr>
          <w:color w:val="000000" w:themeColor="text1"/>
          <w:kern w:val="0"/>
          <w:sz w:val="28"/>
          <w:szCs w:val="28"/>
        </w:rPr>
        <w:t>应用预先编制的系统检查表并依据有关法规、标准在检查表中列出了检查要求，使检查工作标准化、规范化。</w:t>
      </w:r>
    </w:p>
    <w:p>
      <w:pPr>
        <w:adjustRightInd w:val="0"/>
        <w:spacing w:line="500" w:lineRule="exact"/>
        <w:ind w:firstLine="560" w:firstLineChars="200"/>
        <w:rPr>
          <w:color w:val="000000" w:themeColor="text1"/>
          <w:kern w:val="0"/>
          <w:sz w:val="28"/>
          <w:szCs w:val="28"/>
        </w:rPr>
      </w:pPr>
      <w:r>
        <w:rPr>
          <w:color w:val="000000" w:themeColor="text1"/>
          <w:kern w:val="0"/>
          <w:sz w:val="28"/>
          <w:szCs w:val="28"/>
        </w:rPr>
        <w:t>3</w:t>
      </w:r>
      <w:r>
        <w:rPr>
          <w:rFonts w:hint="eastAsia"/>
          <w:color w:val="000000" w:themeColor="text1"/>
          <w:kern w:val="0"/>
          <w:sz w:val="28"/>
          <w:szCs w:val="28"/>
        </w:rPr>
        <w:t>.</w:t>
      </w:r>
      <w:r>
        <w:rPr>
          <w:color w:val="000000" w:themeColor="text1"/>
          <w:kern w:val="0"/>
          <w:sz w:val="28"/>
          <w:szCs w:val="28"/>
        </w:rPr>
        <w:t>对不同的检查对象、检查目的有不同的检查表，应用范围广。</w:t>
      </w:r>
    </w:p>
    <w:p>
      <w:pPr>
        <w:adjustRightInd w:val="0"/>
        <w:spacing w:line="500" w:lineRule="exact"/>
        <w:ind w:firstLine="560" w:firstLineChars="200"/>
        <w:rPr>
          <w:color w:val="000000" w:themeColor="text1"/>
          <w:kern w:val="0"/>
          <w:sz w:val="28"/>
          <w:szCs w:val="28"/>
        </w:rPr>
      </w:pPr>
      <w:r>
        <w:rPr>
          <w:color w:val="000000" w:themeColor="text1"/>
          <w:kern w:val="0"/>
          <w:sz w:val="28"/>
          <w:szCs w:val="28"/>
        </w:rPr>
        <w:t>4</w:t>
      </w:r>
      <w:r>
        <w:rPr>
          <w:rFonts w:hint="eastAsia"/>
          <w:color w:val="000000" w:themeColor="text1"/>
          <w:kern w:val="0"/>
          <w:sz w:val="28"/>
          <w:szCs w:val="28"/>
        </w:rPr>
        <w:t>.</w:t>
      </w:r>
      <w:r>
        <w:rPr>
          <w:color w:val="000000" w:themeColor="text1"/>
          <w:kern w:val="0"/>
          <w:sz w:val="28"/>
          <w:szCs w:val="28"/>
        </w:rPr>
        <w:t>安全检查表简明易懂、实用方便、易于掌握，能弥补有关人员知识、经验不足的缺陷，减少盲目性。</w:t>
      </w:r>
    </w:p>
    <w:p>
      <w:pPr>
        <w:adjustRightInd w:val="0"/>
        <w:spacing w:line="500" w:lineRule="exact"/>
        <w:ind w:firstLine="560" w:firstLineChars="200"/>
        <w:rPr>
          <w:color w:val="000000" w:themeColor="text1"/>
          <w:kern w:val="0"/>
          <w:sz w:val="28"/>
          <w:szCs w:val="28"/>
        </w:rPr>
      </w:pPr>
      <w:r>
        <w:rPr>
          <w:color w:val="000000" w:themeColor="text1"/>
          <w:kern w:val="0"/>
          <w:sz w:val="28"/>
          <w:szCs w:val="28"/>
        </w:rPr>
        <w:t>5</w:t>
      </w:r>
      <w:r>
        <w:rPr>
          <w:rFonts w:hint="eastAsia"/>
          <w:color w:val="000000" w:themeColor="text1"/>
          <w:kern w:val="0"/>
          <w:sz w:val="28"/>
          <w:szCs w:val="28"/>
        </w:rPr>
        <w:t>.</w:t>
      </w:r>
      <w:r>
        <w:rPr>
          <w:color w:val="000000" w:themeColor="text1"/>
          <w:kern w:val="0"/>
          <w:sz w:val="28"/>
          <w:szCs w:val="28"/>
        </w:rPr>
        <w:t>检查人员依据安全检查表进行检查，检查结果即为履行职责的凭证。</w:t>
      </w:r>
    </w:p>
    <w:p>
      <w:pPr>
        <w:pStyle w:val="19"/>
        <w:spacing w:afterLines="100" w:line="500" w:lineRule="exact"/>
        <w:rPr>
          <w:rFonts w:ascii="黑体" w:hAnsi="宋体" w:eastAsia="黑体"/>
          <w:color w:val="000000" w:themeColor="text1"/>
          <w:kern w:val="3"/>
          <w:sz w:val="28"/>
          <w:szCs w:val="28"/>
        </w:rPr>
      </w:pPr>
      <w:bookmarkStart w:id="1563" w:name="_Toc23813"/>
      <w:bookmarkStart w:id="1564" w:name="_Toc9541"/>
      <w:bookmarkStart w:id="1565" w:name="_Toc5883"/>
      <w:bookmarkStart w:id="1566" w:name="_Toc259982247"/>
      <w:bookmarkStart w:id="1567" w:name="_Toc15181"/>
      <w:bookmarkStart w:id="1568" w:name="_Toc24298"/>
      <w:bookmarkStart w:id="1569" w:name="_Toc3976"/>
      <w:bookmarkStart w:id="1570" w:name="_Toc6511"/>
      <w:bookmarkStart w:id="1571" w:name="_Toc26693"/>
      <w:bookmarkStart w:id="1572" w:name="_Toc21023"/>
      <w:bookmarkStart w:id="1573" w:name="_Toc25119"/>
      <w:r>
        <w:rPr>
          <w:rFonts w:hint="eastAsia" w:ascii="黑体" w:hAnsi="宋体" w:eastAsia="黑体"/>
          <w:color w:val="000000" w:themeColor="text1"/>
          <w:kern w:val="3"/>
          <w:sz w:val="28"/>
          <w:szCs w:val="28"/>
        </w:rPr>
        <w:t>4.3.2 LEC改进法简介</w:t>
      </w:r>
      <w:bookmarkEnd w:id="1563"/>
      <w:bookmarkEnd w:id="1564"/>
      <w:bookmarkEnd w:id="1565"/>
      <w:bookmarkEnd w:id="1566"/>
      <w:bookmarkEnd w:id="1567"/>
      <w:bookmarkEnd w:id="1568"/>
      <w:bookmarkEnd w:id="1569"/>
      <w:bookmarkEnd w:id="1570"/>
      <w:bookmarkEnd w:id="1571"/>
      <w:bookmarkEnd w:id="1572"/>
      <w:bookmarkEnd w:id="1573"/>
    </w:p>
    <w:p>
      <w:pPr>
        <w:pStyle w:val="34"/>
        <w:adjustRightInd w:val="0"/>
        <w:snapToGrid w:val="0"/>
        <w:spacing w:after="0" w:line="500" w:lineRule="exact"/>
        <w:ind w:left="0" w:leftChars="0" w:firstLine="562" w:firstLineChars="200"/>
        <w:rPr>
          <w:rFonts w:eastAsiaTheme="minorEastAsia"/>
          <w:b/>
          <w:bCs/>
          <w:snapToGrid w:val="0"/>
          <w:color w:val="000000" w:themeColor="text1"/>
          <w:kern w:val="0"/>
          <w:sz w:val="28"/>
          <w:szCs w:val="28"/>
        </w:rPr>
      </w:pPr>
      <w:bookmarkStart w:id="1574" w:name="_Toc23248"/>
      <w:r>
        <w:rPr>
          <w:rFonts w:eastAsiaTheme="minorEastAsia"/>
          <w:b/>
          <w:bCs/>
          <w:snapToGrid w:val="0"/>
          <w:color w:val="000000" w:themeColor="text1"/>
          <w:kern w:val="0"/>
          <w:sz w:val="28"/>
          <w:szCs w:val="28"/>
        </w:rPr>
        <w:t>1</w:t>
      </w:r>
      <w:r>
        <w:rPr>
          <w:rFonts w:hint="eastAsia" w:eastAsiaTheme="minorEastAsia"/>
          <w:b/>
          <w:bCs/>
          <w:snapToGrid w:val="0"/>
          <w:color w:val="000000" w:themeColor="text1"/>
          <w:kern w:val="0"/>
          <w:sz w:val="28"/>
          <w:szCs w:val="28"/>
        </w:rPr>
        <w:t>.</w:t>
      </w:r>
      <w:r>
        <w:rPr>
          <w:rFonts w:eastAsiaTheme="minorEastAsia"/>
          <w:b/>
          <w:bCs/>
          <w:snapToGrid w:val="0"/>
          <w:color w:val="000000" w:themeColor="text1"/>
          <w:kern w:val="0"/>
          <w:sz w:val="28"/>
          <w:szCs w:val="28"/>
        </w:rPr>
        <w:t>LEC简介</w:t>
      </w:r>
      <w:bookmarkEnd w:id="1574"/>
    </w:p>
    <w:p>
      <w:pPr>
        <w:pStyle w:val="34"/>
        <w:adjustRightInd w:val="0"/>
        <w:snapToGrid w:val="0"/>
        <w:spacing w:after="0" w:line="500" w:lineRule="exact"/>
        <w:ind w:left="0" w:leftChars="0"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作业条件危险性评价法是一种简便易行的评价方法，用来评价人们在某种具有潜在危险环境中作业的危险性。该法以被评价的环境与某些作为参考的环境进行比较为基础，采用专家“评分”的办法确定各种自变量的分数值，最后根据总的危险分数值来评价其危险性。该法已用于一些工业企业危险性的评价，取得较好效果。所以本评价项目中采用格雷厄姆法来对该项目装卸、储存、供配电、给排水、检修及安装过程等的危险性进行评价。</w:t>
      </w:r>
    </w:p>
    <w:p>
      <w:pPr>
        <w:adjustRightInd w:val="0"/>
        <w:snapToGrid w:val="0"/>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格雷厄姆和金尼认为影响危险性的主要因素有3个：</w:t>
      </w:r>
    </w:p>
    <w:p>
      <w:pPr>
        <w:adjustRightInd w:val="0"/>
        <w:snapToGrid w:val="0"/>
        <w:spacing w:line="500" w:lineRule="exact"/>
        <w:ind w:firstLine="560" w:firstLineChars="200"/>
        <w:rPr>
          <w:rFonts w:eastAsiaTheme="minorEastAsia"/>
          <w:snapToGrid w:val="0"/>
          <w:color w:val="000000" w:themeColor="text1"/>
          <w:kern w:val="0"/>
          <w:sz w:val="28"/>
          <w:szCs w:val="28"/>
        </w:rPr>
      </w:pPr>
      <w:r>
        <w:rPr>
          <w:rFonts w:hint="eastAsia"/>
          <w:snapToGrid w:val="0"/>
          <w:color w:val="000000" w:themeColor="text1"/>
          <w:kern w:val="0"/>
          <w:sz w:val="28"/>
          <w:szCs w:val="24"/>
        </w:rPr>
        <w:t>（1）</w:t>
      </w:r>
      <w:r>
        <w:rPr>
          <w:rFonts w:eastAsiaTheme="minorEastAsia"/>
          <w:snapToGrid w:val="0"/>
          <w:color w:val="000000" w:themeColor="text1"/>
          <w:kern w:val="0"/>
          <w:sz w:val="28"/>
          <w:szCs w:val="28"/>
        </w:rPr>
        <w:t>发生事故或危险事件的可能性；</w:t>
      </w:r>
    </w:p>
    <w:p>
      <w:pPr>
        <w:adjustRightInd w:val="0"/>
        <w:snapToGrid w:val="0"/>
        <w:spacing w:line="500" w:lineRule="exact"/>
        <w:ind w:firstLine="560" w:firstLineChars="200"/>
        <w:rPr>
          <w:rFonts w:eastAsiaTheme="minorEastAsia"/>
          <w:snapToGrid w:val="0"/>
          <w:color w:val="000000" w:themeColor="text1"/>
          <w:kern w:val="0"/>
          <w:sz w:val="28"/>
          <w:szCs w:val="28"/>
        </w:rPr>
      </w:pPr>
      <w:r>
        <w:rPr>
          <w:rFonts w:hint="eastAsia"/>
          <w:snapToGrid w:val="0"/>
          <w:color w:val="000000" w:themeColor="text1"/>
          <w:kern w:val="0"/>
          <w:sz w:val="28"/>
          <w:szCs w:val="24"/>
        </w:rPr>
        <w:t>（2）</w:t>
      </w:r>
      <w:r>
        <w:rPr>
          <w:rFonts w:eastAsiaTheme="minorEastAsia"/>
          <w:snapToGrid w:val="0"/>
          <w:color w:val="000000" w:themeColor="text1"/>
          <w:kern w:val="0"/>
          <w:sz w:val="28"/>
          <w:szCs w:val="28"/>
        </w:rPr>
        <w:t>暴露于这种危险环境的频率；</w:t>
      </w:r>
    </w:p>
    <w:p>
      <w:pPr>
        <w:adjustRightInd w:val="0"/>
        <w:snapToGrid w:val="0"/>
        <w:spacing w:line="500" w:lineRule="exact"/>
        <w:ind w:firstLine="560" w:firstLineChars="200"/>
        <w:rPr>
          <w:rFonts w:eastAsiaTheme="minorEastAsia"/>
          <w:snapToGrid w:val="0"/>
          <w:color w:val="000000" w:themeColor="text1"/>
          <w:kern w:val="0"/>
          <w:sz w:val="28"/>
          <w:szCs w:val="28"/>
        </w:rPr>
      </w:pPr>
      <w:r>
        <w:rPr>
          <w:rFonts w:hint="eastAsia"/>
          <w:snapToGrid w:val="0"/>
          <w:color w:val="000000" w:themeColor="text1"/>
          <w:kern w:val="0"/>
          <w:sz w:val="28"/>
          <w:szCs w:val="24"/>
        </w:rPr>
        <w:t>（3）</w:t>
      </w:r>
      <w:r>
        <w:rPr>
          <w:rFonts w:eastAsiaTheme="minorEastAsia"/>
          <w:snapToGrid w:val="0"/>
          <w:color w:val="000000" w:themeColor="text1"/>
          <w:kern w:val="0"/>
          <w:sz w:val="28"/>
          <w:szCs w:val="28"/>
        </w:rPr>
        <w:t>事故一旦发生时可能产生的后果。</w:t>
      </w:r>
    </w:p>
    <w:p>
      <w:pPr>
        <w:adjustRightInd w:val="0"/>
        <w:snapToGrid w:val="0"/>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前两者可以看作是危险概率，后者则相当于危险严重度。这样，危险性可以下式来表达：危险性（D）＝L×E×C</w:t>
      </w:r>
    </w:p>
    <w:p>
      <w:pPr>
        <w:adjustRightInd w:val="0"/>
        <w:snapToGrid w:val="0"/>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式中：L―事故或危险事件发生的可能性；</w:t>
      </w:r>
    </w:p>
    <w:p>
      <w:pPr>
        <w:adjustRightInd w:val="0"/>
        <w:snapToGrid w:val="0"/>
        <w:spacing w:line="500" w:lineRule="exact"/>
        <w:ind w:firstLine="1260" w:firstLineChars="45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E―暴露于危险环境的频率；</w:t>
      </w:r>
    </w:p>
    <w:p>
      <w:pPr>
        <w:adjustRightInd w:val="0"/>
        <w:snapToGrid w:val="0"/>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 xml:space="preserve">      C―危险严重度。</w:t>
      </w:r>
    </w:p>
    <w:p>
      <w:pPr>
        <w:adjustRightInd w:val="0"/>
        <w:snapToGrid w:val="0"/>
        <w:spacing w:line="500" w:lineRule="exact"/>
        <w:ind w:firstLine="560" w:firstLineChars="200"/>
        <w:rPr>
          <w:rFonts w:eastAsiaTheme="minorEastAsia"/>
          <w:snapToGrid w:val="0"/>
          <w:color w:val="000000" w:themeColor="text1"/>
          <w:kern w:val="0"/>
          <w:sz w:val="28"/>
          <w:szCs w:val="28"/>
        </w:rPr>
      </w:pPr>
      <w:r>
        <w:rPr>
          <w:rFonts w:hint="eastAsia"/>
          <w:snapToGrid w:val="0"/>
          <w:color w:val="000000" w:themeColor="text1"/>
          <w:kern w:val="0"/>
          <w:sz w:val="28"/>
          <w:szCs w:val="24"/>
        </w:rPr>
        <w:t>a.</w:t>
      </w:r>
      <w:r>
        <w:rPr>
          <w:rFonts w:eastAsiaTheme="minorEastAsia"/>
          <w:bCs/>
          <w:snapToGrid w:val="0"/>
          <w:color w:val="000000" w:themeColor="text1"/>
          <w:kern w:val="0"/>
          <w:sz w:val="28"/>
          <w:szCs w:val="28"/>
        </w:rPr>
        <w:t>可能性因素L</w:t>
      </w:r>
    </w:p>
    <w:p>
      <w:pPr>
        <w:adjustRightInd w:val="0"/>
        <w:snapToGrid w:val="0"/>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事故或危险事件发生的可能性是与它们实际的数学概率相关联的。绝对不可能发生的事件的概率为0，而必然发生的事件的概率则为1。但在实际情况中，绝对不可能发生的事故是不存在的，只能说可能性极小，概率趋于0。所以，可能性因素L的分数值取值范围为1～10具体见表4-1。</w:t>
      </w:r>
    </w:p>
    <w:p>
      <w:pPr>
        <w:adjustRightInd w:val="0"/>
        <w:snapToGrid w:val="0"/>
        <w:spacing w:line="500" w:lineRule="atLeast"/>
        <w:jc w:val="center"/>
        <w:rPr>
          <w:rFonts w:eastAsiaTheme="minorEastAsia"/>
          <w:bCs/>
          <w:color w:val="000000" w:themeColor="text1"/>
          <w:sz w:val="24"/>
        </w:rPr>
      </w:pPr>
      <w:r>
        <w:rPr>
          <w:rFonts w:eastAsiaTheme="minorEastAsia"/>
          <w:bCs/>
          <w:color w:val="000000" w:themeColor="text1"/>
          <w:sz w:val="24"/>
        </w:rPr>
        <w:t>表4-1 事故或危险事件发生的可能性L的分数值表</w:t>
      </w:r>
    </w:p>
    <w:tbl>
      <w:tblPr>
        <w:tblStyle w:val="52"/>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0"/>
        <w:gridCol w:w="4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分数值</w:t>
            </w:r>
          </w:p>
        </w:tc>
        <w:tc>
          <w:tcPr>
            <w:tcW w:w="449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事故或危险事件发生的可能性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10</w:t>
            </w:r>
          </w:p>
        </w:tc>
        <w:tc>
          <w:tcPr>
            <w:tcW w:w="449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完全会被预料到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6</w:t>
            </w:r>
          </w:p>
        </w:tc>
        <w:tc>
          <w:tcPr>
            <w:tcW w:w="449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相当可能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3</w:t>
            </w:r>
          </w:p>
        </w:tc>
        <w:tc>
          <w:tcPr>
            <w:tcW w:w="449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不经常，但可能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w:t>
            </w:r>
          </w:p>
        </w:tc>
        <w:tc>
          <w:tcPr>
            <w:tcW w:w="449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完全意外，极少可能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0.5</w:t>
            </w:r>
          </w:p>
        </w:tc>
        <w:tc>
          <w:tcPr>
            <w:tcW w:w="449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可以设想，但高度不可能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52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0.2</w:t>
            </w:r>
          </w:p>
        </w:tc>
        <w:tc>
          <w:tcPr>
            <w:tcW w:w="449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0"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0.1</w:t>
            </w:r>
          </w:p>
        </w:tc>
        <w:tc>
          <w:tcPr>
            <w:tcW w:w="4496"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实际上不可能</w:t>
            </w:r>
          </w:p>
        </w:tc>
      </w:tr>
    </w:tbl>
    <w:p>
      <w:pPr>
        <w:adjustRightInd w:val="0"/>
        <w:snapToGrid w:val="0"/>
        <w:spacing w:line="500" w:lineRule="exact"/>
        <w:ind w:firstLine="560" w:firstLineChars="200"/>
        <w:rPr>
          <w:rFonts w:eastAsiaTheme="minorEastAsia"/>
          <w:color w:val="000000" w:themeColor="text1"/>
          <w:sz w:val="28"/>
          <w:szCs w:val="28"/>
        </w:rPr>
      </w:pPr>
      <w:r>
        <w:rPr>
          <w:rFonts w:hint="eastAsia" w:eastAsiaTheme="minorEastAsia"/>
          <w:bCs/>
          <w:color w:val="000000" w:themeColor="text1"/>
          <w:sz w:val="28"/>
          <w:szCs w:val="28"/>
        </w:rPr>
        <w:t>b.</w:t>
      </w:r>
      <w:r>
        <w:rPr>
          <w:rFonts w:eastAsiaTheme="minorEastAsia"/>
          <w:bCs/>
          <w:color w:val="000000" w:themeColor="text1"/>
          <w:sz w:val="28"/>
          <w:szCs w:val="28"/>
        </w:rPr>
        <w:t>暴露于危险环境的频率E</w:t>
      </w:r>
    </w:p>
    <w:p>
      <w:pPr>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操作人员出现在危险环境中的时间越多，受到伤害的可能性就越大，相应的危险性也就越大。连续出现在危险环境的情况其频率分为10，非常罕见地暴露于危险环境则为0.5。具体分数值如下表4-2所示。</w:t>
      </w:r>
    </w:p>
    <w:p>
      <w:pPr>
        <w:adjustRightInd w:val="0"/>
        <w:snapToGrid w:val="0"/>
        <w:spacing w:line="500" w:lineRule="atLeast"/>
        <w:jc w:val="center"/>
        <w:rPr>
          <w:rFonts w:eastAsiaTheme="minorEastAsia"/>
          <w:bCs/>
          <w:color w:val="000000" w:themeColor="text1"/>
          <w:sz w:val="24"/>
        </w:rPr>
      </w:pPr>
      <w:r>
        <w:rPr>
          <w:rFonts w:eastAsiaTheme="minorEastAsia"/>
          <w:bCs/>
          <w:color w:val="000000" w:themeColor="text1"/>
          <w:sz w:val="24"/>
        </w:rPr>
        <w:t>表4-2 暴露于潜在危险环境频率E的分数值</w:t>
      </w:r>
    </w:p>
    <w:tbl>
      <w:tblPr>
        <w:tblStyle w:val="52"/>
        <w:tblW w:w="7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5"/>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5"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分数值</w:t>
            </w:r>
          </w:p>
        </w:tc>
        <w:tc>
          <w:tcPr>
            <w:tcW w:w="4170"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暴露于危险环境的频率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5"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10</w:t>
            </w:r>
          </w:p>
        </w:tc>
        <w:tc>
          <w:tcPr>
            <w:tcW w:w="4170"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连续暴露于潜在危险环境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5"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6</w:t>
            </w:r>
          </w:p>
        </w:tc>
        <w:tc>
          <w:tcPr>
            <w:tcW w:w="4170"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逐日在工作时间内暴露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5"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3</w:t>
            </w:r>
          </w:p>
        </w:tc>
        <w:tc>
          <w:tcPr>
            <w:tcW w:w="4170"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每周一次或偶然暴露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5"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2</w:t>
            </w:r>
          </w:p>
        </w:tc>
        <w:tc>
          <w:tcPr>
            <w:tcW w:w="4170"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每月暴露一次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5"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w:t>
            </w:r>
          </w:p>
        </w:tc>
        <w:tc>
          <w:tcPr>
            <w:tcW w:w="4170"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每年几次出现在危险环境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5"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0.5</w:t>
            </w:r>
          </w:p>
        </w:tc>
        <w:tc>
          <w:tcPr>
            <w:tcW w:w="4170"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非常罕见地暴露于危险环境</w:t>
            </w:r>
          </w:p>
        </w:tc>
      </w:tr>
    </w:tbl>
    <w:p>
      <w:pPr>
        <w:adjustRightInd w:val="0"/>
        <w:snapToGrid w:val="0"/>
        <w:spacing w:line="500" w:lineRule="atLeast"/>
        <w:ind w:firstLine="560" w:firstLineChars="200"/>
        <w:rPr>
          <w:rFonts w:eastAsiaTheme="minorEastAsia"/>
          <w:bCs/>
          <w:color w:val="000000" w:themeColor="text1"/>
          <w:sz w:val="28"/>
          <w:szCs w:val="28"/>
        </w:rPr>
      </w:pPr>
      <w:r>
        <w:rPr>
          <w:rFonts w:hint="eastAsia" w:eastAsiaTheme="minorEastAsia"/>
          <w:bCs/>
          <w:color w:val="000000" w:themeColor="text1"/>
          <w:sz w:val="28"/>
          <w:szCs w:val="28"/>
        </w:rPr>
        <w:t>c.</w:t>
      </w:r>
      <w:r>
        <w:rPr>
          <w:rFonts w:eastAsiaTheme="minorEastAsia"/>
          <w:bCs/>
          <w:color w:val="000000" w:themeColor="text1"/>
          <w:sz w:val="28"/>
          <w:szCs w:val="28"/>
        </w:rPr>
        <w:t>事故或危险事件的危险严重度C</w:t>
      </w:r>
    </w:p>
    <w:p>
      <w:pPr>
        <w:adjustRightInd w:val="0"/>
        <w:snapToGrid w:val="0"/>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事故或危险事件对人身伤害的严重程度变化范围很大，可以从伤害直至死亡事故，规定分数值～100。具体分数值如下表4-3所示。</w:t>
      </w:r>
    </w:p>
    <w:p>
      <w:pPr>
        <w:rPr>
          <w:rFonts w:eastAsiaTheme="minorEastAsia"/>
          <w:bCs/>
          <w:color w:val="000000" w:themeColor="text1"/>
          <w:sz w:val="24"/>
        </w:rPr>
      </w:pPr>
      <w:r>
        <w:rPr>
          <w:rFonts w:eastAsiaTheme="minorEastAsia"/>
          <w:bCs/>
          <w:color w:val="000000" w:themeColor="text1"/>
          <w:sz w:val="24"/>
        </w:rPr>
        <w:br w:type="page"/>
      </w:r>
    </w:p>
    <w:p>
      <w:pPr>
        <w:adjustRightInd w:val="0"/>
        <w:snapToGrid w:val="0"/>
        <w:spacing w:line="500" w:lineRule="atLeast"/>
        <w:jc w:val="center"/>
        <w:rPr>
          <w:rFonts w:eastAsiaTheme="minorEastAsia"/>
          <w:bCs/>
          <w:color w:val="000000" w:themeColor="text1"/>
          <w:sz w:val="24"/>
        </w:rPr>
      </w:pPr>
      <w:r>
        <w:rPr>
          <w:rFonts w:eastAsiaTheme="minorEastAsia"/>
          <w:bCs/>
          <w:color w:val="000000" w:themeColor="text1"/>
          <w:sz w:val="24"/>
        </w:rPr>
        <w:t>表4-3 事故或危险事件的危险严重度C的分数值</w:t>
      </w:r>
    </w:p>
    <w:tbl>
      <w:tblPr>
        <w:tblStyle w:val="52"/>
        <w:tblW w:w="7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4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2617"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分数值</w:t>
            </w:r>
          </w:p>
        </w:tc>
        <w:tc>
          <w:tcPr>
            <w:tcW w:w="498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可能结果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7"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100</w:t>
            </w:r>
          </w:p>
        </w:tc>
        <w:tc>
          <w:tcPr>
            <w:tcW w:w="498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大灾难，许多人死亡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7"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40</w:t>
            </w:r>
          </w:p>
        </w:tc>
        <w:tc>
          <w:tcPr>
            <w:tcW w:w="498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灾难，数人死亡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7"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15</w:t>
            </w:r>
          </w:p>
        </w:tc>
        <w:tc>
          <w:tcPr>
            <w:tcW w:w="498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非常严重，一人死亡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7"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7</w:t>
            </w:r>
          </w:p>
        </w:tc>
        <w:tc>
          <w:tcPr>
            <w:tcW w:w="498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严重，严重伤害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7"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3</w:t>
            </w:r>
          </w:p>
        </w:tc>
        <w:tc>
          <w:tcPr>
            <w:tcW w:w="498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重大，致残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7"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w:t>
            </w:r>
          </w:p>
        </w:tc>
        <w:tc>
          <w:tcPr>
            <w:tcW w:w="498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引人注目，需要救护</w:t>
            </w:r>
          </w:p>
        </w:tc>
      </w:tr>
    </w:tbl>
    <w:p>
      <w:pPr>
        <w:adjustRightInd w:val="0"/>
        <w:snapToGrid w:val="0"/>
        <w:spacing w:line="500" w:lineRule="exact"/>
        <w:ind w:firstLine="560" w:firstLineChars="200"/>
        <w:rPr>
          <w:rFonts w:eastAsiaTheme="minorEastAsia"/>
          <w:bCs/>
          <w:color w:val="000000" w:themeColor="text1"/>
          <w:sz w:val="28"/>
          <w:szCs w:val="28"/>
        </w:rPr>
      </w:pPr>
      <w:r>
        <w:rPr>
          <w:rFonts w:hint="eastAsia" w:eastAsiaTheme="minorEastAsia"/>
          <w:bCs/>
          <w:color w:val="000000" w:themeColor="text1"/>
          <w:sz w:val="28"/>
          <w:szCs w:val="28"/>
        </w:rPr>
        <w:t>d.</w:t>
      </w:r>
      <w:r>
        <w:rPr>
          <w:rFonts w:eastAsiaTheme="minorEastAsia"/>
          <w:bCs/>
          <w:color w:val="000000" w:themeColor="text1"/>
          <w:sz w:val="28"/>
          <w:szCs w:val="28"/>
        </w:rPr>
        <w:t>危险性程度分级</w:t>
      </w:r>
    </w:p>
    <w:p>
      <w:pPr>
        <w:adjustRightInd w:val="0"/>
        <w:snapToGrid w:val="0"/>
        <w:spacing w:line="500" w:lineRule="exact"/>
        <w:ind w:firstLine="560" w:firstLineChars="200"/>
        <w:rPr>
          <w:rFonts w:eastAsiaTheme="minorEastAsia"/>
          <w:bCs/>
          <w:color w:val="000000" w:themeColor="text1"/>
          <w:sz w:val="24"/>
        </w:rPr>
      </w:pPr>
      <w:r>
        <w:rPr>
          <w:rFonts w:eastAsiaTheme="minorEastAsia"/>
          <w:color w:val="000000" w:themeColor="text1"/>
          <w:sz w:val="28"/>
          <w:szCs w:val="28"/>
        </w:rPr>
        <w:t>在确定上述三个因素的分数值后，其三者的乘积即为总的危险性分数值D。根据相关资料，将危险性程度分级的相应分数值列入下表4-4所示。</w:t>
      </w:r>
    </w:p>
    <w:p>
      <w:pPr>
        <w:adjustRightInd w:val="0"/>
        <w:snapToGrid w:val="0"/>
        <w:spacing w:line="500" w:lineRule="atLeast"/>
        <w:jc w:val="center"/>
        <w:rPr>
          <w:rFonts w:eastAsiaTheme="minorEastAsia"/>
          <w:bCs/>
          <w:color w:val="000000" w:themeColor="text1"/>
          <w:sz w:val="24"/>
        </w:rPr>
      </w:pPr>
      <w:r>
        <w:rPr>
          <w:rFonts w:eastAsiaTheme="minorEastAsia"/>
          <w:bCs/>
          <w:color w:val="000000" w:themeColor="text1"/>
          <w:sz w:val="24"/>
        </w:rPr>
        <w:t>表4-4 危险性程度分级的分数值</w:t>
      </w:r>
    </w:p>
    <w:tbl>
      <w:tblPr>
        <w:tblStyle w:val="52"/>
        <w:tblW w:w="7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4"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分数值</w:t>
            </w:r>
          </w:p>
        </w:tc>
        <w:tc>
          <w:tcPr>
            <w:tcW w:w="4386"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危险性程度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4"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&gt;320</w:t>
            </w:r>
          </w:p>
        </w:tc>
        <w:tc>
          <w:tcPr>
            <w:tcW w:w="4386"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极其危险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4"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160～320</w:t>
            </w:r>
          </w:p>
        </w:tc>
        <w:tc>
          <w:tcPr>
            <w:tcW w:w="4386"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高度危险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4"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70～160</w:t>
            </w:r>
          </w:p>
        </w:tc>
        <w:tc>
          <w:tcPr>
            <w:tcW w:w="4386"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显著危险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4"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20～70</w:t>
            </w:r>
          </w:p>
        </w:tc>
        <w:tc>
          <w:tcPr>
            <w:tcW w:w="4386"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可能危险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4"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&lt;20</w:t>
            </w:r>
          </w:p>
        </w:tc>
        <w:tc>
          <w:tcPr>
            <w:tcW w:w="4386" w:type="dxa"/>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稍有危险</w:t>
            </w:r>
          </w:p>
        </w:tc>
      </w:tr>
    </w:tbl>
    <w:p>
      <w:pPr>
        <w:pStyle w:val="34"/>
        <w:adjustRightInd w:val="0"/>
        <w:snapToGrid w:val="0"/>
        <w:spacing w:after="0" w:line="500" w:lineRule="exact"/>
        <w:ind w:left="0" w:leftChars="0" w:firstLine="562"/>
        <w:rPr>
          <w:rFonts w:eastAsiaTheme="minorEastAsia"/>
          <w:b/>
          <w:bCs/>
          <w:snapToGrid w:val="0"/>
          <w:color w:val="000000" w:themeColor="text1"/>
          <w:kern w:val="0"/>
          <w:sz w:val="28"/>
          <w:szCs w:val="28"/>
        </w:rPr>
      </w:pPr>
      <w:bookmarkStart w:id="1575" w:name="_Toc9773"/>
      <w:r>
        <w:rPr>
          <w:rFonts w:eastAsiaTheme="minorEastAsia"/>
          <w:b/>
          <w:bCs/>
          <w:snapToGrid w:val="0"/>
          <w:color w:val="000000" w:themeColor="text1"/>
          <w:kern w:val="0"/>
          <w:sz w:val="28"/>
          <w:szCs w:val="28"/>
        </w:rPr>
        <w:t>2</w:t>
      </w:r>
      <w:r>
        <w:rPr>
          <w:rFonts w:hint="eastAsia" w:eastAsiaTheme="minorEastAsia"/>
          <w:b/>
          <w:bCs/>
          <w:snapToGrid w:val="0"/>
          <w:color w:val="000000" w:themeColor="text1"/>
          <w:kern w:val="0"/>
          <w:sz w:val="28"/>
          <w:szCs w:val="28"/>
        </w:rPr>
        <w:t>.</w:t>
      </w:r>
      <w:r>
        <w:rPr>
          <w:rFonts w:eastAsiaTheme="minorEastAsia"/>
          <w:b/>
          <w:bCs/>
          <w:snapToGrid w:val="0"/>
          <w:color w:val="000000" w:themeColor="text1"/>
          <w:kern w:val="0"/>
          <w:sz w:val="28"/>
          <w:szCs w:val="28"/>
        </w:rPr>
        <w:t>LEC法改进简介</w:t>
      </w:r>
      <w:bookmarkEnd w:id="1575"/>
    </w:p>
    <w:p>
      <w:pPr>
        <w:adjustRightInd w:val="0"/>
        <w:snapToGrid w:val="0"/>
        <w:spacing w:line="500" w:lineRule="exact"/>
        <w:ind w:firstLine="560"/>
        <w:rPr>
          <w:rFonts w:eastAsiaTheme="minorEastAsia"/>
          <w:color w:val="000000" w:themeColor="text1"/>
          <w:sz w:val="28"/>
        </w:rPr>
      </w:pPr>
      <w:r>
        <w:rPr>
          <w:rFonts w:eastAsiaTheme="minorEastAsia"/>
          <w:color w:val="000000" w:themeColor="text1"/>
          <w:sz w:val="28"/>
        </w:rPr>
        <w:t>针对LEC法的不足，可以在科学分析研究的基础上，对此方法从安全管理角度考虑其安全管理方面的补偿，在原来LEC法的基础上考虑增加M，其对作业人员的管理、对设备的管理、对物料的管理、对作业环境的管理。考虑增加M值后，LEC法的计算式如下所述。</w:t>
      </w:r>
    </w:p>
    <w:p>
      <w:pPr>
        <w:adjustRightInd w:val="0"/>
        <w:snapToGrid w:val="0"/>
        <w:spacing w:line="500" w:lineRule="exact"/>
        <w:ind w:firstLine="560"/>
        <w:rPr>
          <w:rFonts w:eastAsiaTheme="minorEastAsia"/>
          <w:color w:val="000000" w:themeColor="text1"/>
          <w:sz w:val="28"/>
        </w:rPr>
      </w:pPr>
      <w:r>
        <w:rPr>
          <w:rFonts w:eastAsiaTheme="minorEastAsia"/>
          <w:color w:val="000000" w:themeColor="text1"/>
          <w:sz w:val="28"/>
        </w:rPr>
        <w:t>D=M×L×E×C；M=M</w:t>
      </w:r>
      <w:r>
        <w:rPr>
          <w:rFonts w:eastAsiaTheme="minorEastAsia"/>
          <w:color w:val="000000" w:themeColor="text1"/>
          <w:sz w:val="28"/>
          <w:vertAlign w:val="subscript"/>
        </w:rPr>
        <w:t>1</w:t>
      </w:r>
      <w:r>
        <w:rPr>
          <w:rFonts w:eastAsiaTheme="minorEastAsia"/>
          <w:color w:val="000000" w:themeColor="text1"/>
          <w:sz w:val="28"/>
        </w:rPr>
        <w:t>×M</w:t>
      </w:r>
      <w:r>
        <w:rPr>
          <w:rFonts w:eastAsiaTheme="minorEastAsia"/>
          <w:color w:val="000000" w:themeColor="text1"/>
          <w:sz w:val="28"/>
          <w:vertAlign w:val="subscript"/>
        </w:rPr>
        <w:t>2</w:t>
      </w:r>
      <w:r>
        <w:rPr>
          <w:rFonts w:eastAsiaTheme="minorEastAsia"/>
          <w:color w:val="000000" w:themeColor="text1"/>
          <w:sz w:val="28"/>
        </w:rPr>
        <w:t>×M</w:t>
      </w:r>
      <w:r>
        <w:rPr>
          <w:rFonts w:eastAsiaTheme="minorEastAsia"/>
          <w:color w:val="000000" w:themeColor="text1"/>
          <w:sz w:val="28"/>
          <w:vertAlign w:val="subscript"/>
        </w:rPr>
        <w:t>3</w:t>
      </w:r>
      <w:r>
        <w:rPr>
          <w:rFonts w:eastAsiaTheme="minorEastAsia"/>
          <w:color w:val="000000" w:themeColor="text1"/>
          <w:sz w:val="28"/>
        </w:rPr>
        <w:t>×M</w:t>
      </w:r>
      <w:r>
        <w:rPr>
          <w:rFonts w:eastAsiaTheme="minorEastAsia"/>
          <w:color w:val="000000" w:themeColor="text1"/>
          <w:sz w:val="28"/>
          <w:vertAlign w:val="subscript"/>
        </w:rPr>
        <w:t>4</w:t>
      </w:r>
    </w:p>
    <w:p>
      <w:pPr>
        <w:adjustRightInd w:val="0"/>
        <w:snapToGrid w:val="0"/>
        <w:spacing w:line="500" w:lineRule="exact"/>
        <w:ind w:firstLine="480"/>
        <w:rPr>
          <w:rFonts w:eastAsiaTheme="minorEastAsia"/>
          <w:color w:val="000000" w:themeColor="text1"/>
          <w:sz w:val="24"/>
        </w:rPr>
      </w:pPr>
      <w:bookmarkStart w:id="1576" w:name="_Toc26870_WPSOffice_Level2"/>
      <w:bookmarkStart w:id="1577" w:name="_Toc1248_WPSOffice_Level2"/>
      <w:bookmarkStart w:id="1578" w:name="_Toc18245_WPSOffice_Level2"/>
      <w:r>
        <w:rPr>
          <w:rFonts w:eastAsiaTheme="minorEastAsia"/>
          <w:color w:val="000000" w:themeColor="text1"/>
          <w:sz w:val="24"/>
        </w:rPr>
        <w:t>上式中：M=管理系数</w:t>
      </w:r>
      <w:bookmarkEnd w:id="1576"/>
      <w:bookmarkEnd w:id="1577"/>
      <w:bookmarkEnd w:id="1578"/>
    </w:p>
    <w:p>
      <w:pPr>
        <w:adjustRightInd w:val="0"/>
        <w:snapToGrid w:val="0"/>
        <w:spacing w:line="500" w:lineRule="exact"/>
        <w:ind w:firstLine="480"/>
        <w:rPr>
          <w:rFonts w:eastAsiaTheme="minorEastAsia"/>
          <w:color w:val="000000" w:themeColor="text1"/>
          <w:sz w:val="24"/>
        </w:rPr>
      </w:pPr>
      <w:r>
        <w:rPr>
          <w:rFonts w:eastAsiaTheme="minorEastAsia"/>
          <w:color w:val="000000" w:themeColor="text1"/>
          <w:sz w:val="24"/>
        </w:rPr>
        <w:t>　　　　</w:t>
      </w:r>
      <w:bookmarkStart w:id="1579" w:name="_Toc9892_WPSOffice_Level2"/>
      <w:bookmarkStart w:id="1580" w:name="_Toc29239_WPSOffice_Level2"/>
      <w:bookmarkStart w:id="1581" w:name="_Toc4743"/>
      <w:bookmarkStart w:id="1582" w:name="_Toc16598_WPSOffice_Level2"/>
      <w:r>
        <w:rPr>
          <w:rFonts w:eastAsiaTheme="minorEastAsia"/>
          <w:color w:val="000000" w:themeColor="text1"/>
          <w:sz w:val="24"/>
        </w:rPr>
        <w:t>M</w:t>
      </w:r>
      <w:r>
        <w:rPr>
          <w:rFonts w:eastAsiaTheme="minorEastAsia"/>
          <w:color w:val="000000" w:themeColor="text1"/>
          <w:sz w:val="24"/>
          <w:vertAlign w:val="subscript"/>
        </w:rPr>
        <w:t>1</w:t>
      </w:r>
      <w:r>
        <w:rPr>
          <w:rFonts w:eastAsiaTheme="minorEastAsia"/>
          <w:color w:val="000000" w:themeColor="text1"/>
          <w:sz w:val="24"/>
        </w:rPr>
        <w:t>=作业人员管理系数</w:t>
      </w:r>
      <w:bookmarkEnd w:id="1579"/>
      <w:bookmarkEnd w:id="1580"/>
      <w:bookmarkEnd w:id="1581"/>
      <w:bookmarkEnd w:id="1582"/>
    </w:p>
    <w:p>
      <w:pPr>
        <w:adjustRightInd w:val="0"/>
        <w:snapToGrid w:val="0"/>
        <w:spacing w:line="500" w:lineRule="exact"/>
        <w:ind w:firstLine="480"/>
        <w:rPr>
          <w:rFonts w:eastAsiaTheme="minorEastAsia"/>
          <w:color w:val="000000" w:themeColor="text1"/>
          <w:sz w:val="24"/>
        </w:rPr>
      </w:pPr>
      <w:r>
        <w:rPr>
          <w:rFonts w:eastAsiaTheme="minorEastAsia"/>
          <w:color w:val="000000" w:themeColor="text1"/>
          <w:sz w:val="24"/>
        </w:rPr>
        <w:t>　　　　</w:t>
      </w:r>
      <w:bookmarkStart w:id="1583" w:name="_Toc22427_WPSOffice_Level2"/>
      <w:bookmarkStart w:id="1584" w:name="_Toc14724_WPSOffice_Level2"/>
      <w:bookmarkStart w:id="1585" w:name="_Toc23889_WPSOffice_Level2"/>
      <w:bookmarkStart w:id="1586" w:name="_Toc9432"/>
      <w:r>
        <w:rPr>
          <w:rFonts w:eastAsiaTheme="minorEastAsia"/>
          <w:color w:val="000000" w:themeColor="text1"/>
          <w:sz w:val="24"/>
        </w:rPr>
        <w:t>M</w:t>
      </w:r>
      <w:r>
        <w:rPr>
          <w:rFonts w:eastAsiaTheme="minorEastAsia"/>
          <w:color w:val="000000" w:themeColor="text1"/>
          <w:sz w:val="24"/>
          <w:vertAlign w:val="subscript"/>
        </w:rPr>
        <w:t>2</w:t>
      </w:r>
      <w:r>
        <w:rPr>
          <w:rFonts w:eastAsiaTheme="minorEastAsia"/>
          <w:color w:val="000000" w:themeColor="text1"/>
          <w:sz w:val="24"/>
        </w:rPr>
        <w:t>=设备管理系数</w:t>
      </w:r>
      <w:bookmarkEnd w:id="1583"/>
      <w:bookmarkEnd w:id="1584"/>
      <w:bookmarkEnd w:id="1585"/>
      <w:bookmarkEnd w:id="1586"/>
    </w:p>
    <w:p>
      <w:pPr>
        <w:adjustRightInd w:val="0"/>
        <w:snapToGrid w:val="0"/>
        <w:spacing w:line="500" w:lineRule="exact"/>
        <w:ind w:firstLine="480"/>
        <w:rPr>
          <w:rFonts w:eastAsiaTheme="minorEastAsia"/>
          <w:color w:val="000000" w:themeColor="text1"/>
          <w:sz w:val="24"/>
        </w:rPr>
      </w:pPr>
      <w:r>
        <w:rPr>
          <w:rFonts w:eastAsiaTheme="minorEastAsia"/>
          <w:color w:val="000000" w:themeColor="text1"/>
          <w:sz w:val="24"/>
        </w:rPr>
        <w:t>　　　　</w:t>
      </w:r>
      <w:bookmarkStart w:id="1587" w:name="_Toc13355_WPSOffice_Level2"/>
      <w:bookmarkStart w:id="1588" w:name="_Toc1082_WPSOffice_Level2"/>
      <w:bookmarkStart w:id="1589" w:name="_Toc24509"/>
      <w:bookmarkStart w:id="1590" w:name="_Toc18718_WPSOffice_Level2"/>
      <w:r>
        <w:rPr>
          <w:rFonts w:eastAsiaTheme="minorEastAsia"/>
          <w:color w:val="000000" w:themeColor="text1"/>
          <w:sz w:val="24"/>
        </w:rPr>
        <w:t>M</w:t>
      </w:r>
      <w:r>
        <w:rPr>
          <w:rFonts w:eastAsiaTheme="minorEastAsia"/>
          <w:color w:val="000000" w:themeColor="text1"/>
          <w:sz w:val="24"/>
          <w:vertAlign w:val="subscript"/>
        </w:rPr>
        <w:t>3</w:t>
      </w:r>
      <w:r>
        <w:rPr>
          <w:rFonts w:eastAsiaTheme="minorEastAsia"/>
          <w:color w:val="000000" w:themeColor="text1"/>
          <w:sz w:val="24"/>
        </w:rPr>
        <w:t>=物料管理系数</w:t>
      </w:r>
      <w:bookmarkEnd w:id="1587"/>
      <w:bookmarkEnd w:id="1588"/>
      <w:bookmarkEnd w:id="1589"/>
      <w:bookmarkEnd w:id="1590"/>
    </w:p>
    <w:p>
      <w:pPr>
        <w:adjustRightInd w:val="0"/>
        <w:snapToGrid w:val="0"/>
        <w:spacing w:line="500" w:lineRule="exact"/>
        <w:ind w:firstLine="480"/>
        <w:rPr>
          <w:rFonts w:eastAsiaTheme="minorEastAsia"/>
          <w:color w:val="000000" w:themeColor="text1"/>
          <w:sz w:val="24"/>
        </w:rPr>
      </w:pPr>
      <w:r>
        <w:rPr>
          <w:rFonts w:eastAsiaTheme="minorEastAsia"/>
          <w:color w:val="000000" w:themeColor="text1"/>
          <w:sz w:val="24"/>
        </w:rPr>
        <w:t>　　　　</w:t>
      </w:r>
      <w:bookmarkStart w:id="1591" w:name="_Toc1972_WPSOffice_Level2"/>
      <w:bookmarkStart w:id="1592" w:name="_Toc28693_WPSOffice_Level2"/>
      <w:bookmarkStart w:id="1593" w:name="_Toc4641_WPSOffice_Level2"/>
      <w:bookmarkStart w:id="1594" w:name="_Toc12725"/>
      <w:r>
        <w:rPr>
          <w:rFonts w:eastAsiaTheme="minorEastAsia"/>
          <w:color w:val="000000" w:themeColor="text1"/>
          <w:sz w:val="24"/>
        </w:rPr>
        <w:t>M</w:t>
      </w:r>
      <w:r>
        <w:rPr>
          <w:rFonts w:eastAsiaTheme="minorEastAsia"/>
          <w:color w:val="000000" w:themeColor="text1"/>
          <w:sz w:val="24"/>
          <w:vertAlign w:val="subscript"/>
        </w:rPr>
        <w:t>4</w:t>
      </w:r>
      <w:r>
        <w:rPr>
          <w:rFonts w:eastAsiaTheme="minorEastAsia"/>
          <w:color w:val="000000" w:themeColor="text1"/>
          <w:sz w:val="24"/>
        </w:rPr>
        <w:t>=作业环境管理系数</w:t>
      </w:r>
      <w:bookmarkEnd w:id="1591"/>
      <w:bookmarkEnd w:id="1592"/>
      <w:bookmarkEnd w:id="1593"/>
      <w:bookmarkEnd w:id="1594"/>
    </w:p>
    <w:p>
      <w:pPr>
        <w:adjustRightInd w:val="0"/>
        <w:snapToGrid w:val="0"/>
        <w:spacing w:line="500" w:lineRule="exact"/>
        <w:ind w:firstLine="560"/>
        <w:rPr>
          <w:rFonts w:eastAsiaTheme="minorEastAsia"/>
          <w:bCs/>
          <w:color w:val="000000" w:themeColor="text1"/>
          <w:sz w:val="28"/>
        </w:rPr>
      </w:pPr>
      <w:bookmarkStart w:id="1595" w:name="_Toc25374_WPSOffice_Level2"/>
      <w:bookmarkStart w:id="1596" w:name="_Toc11918_WPSOffice_Level2"/>
      <w:bookmarkStart w:id="1597" w:name="_Toc14712_WPSOffice_Level2"/>
      <w:bookmarkStart w:id="1598" w:name="_Toc27463"/>
      <w:r>
        <w:rPr>
          <w:rFonts w:hint="eastAsia"/>
          <w:snapToGrid w:val="0"/>
          <w:color w:val="000000" w:themeColor="text1"/>
          <w:kern w:val="0"/>
          <w:sz w:val="28"/>
          <w:szCs w:val="24"/>
        </w:rPr>
        <w:t>（1）</w:t>
      </w:r>
      <w:r>
        <w:rPr>
          <w:rFonts w:eastAsiaTheme="minorEastAsia"/>
          <w:bCs/>
          <w:color w:val="000000" w:themeColor="text1"/>
          <w:sz w:val="28"/>
        </w:rPr>
        <w:t>作业人员管理系数M</w:t>
      </w:r>
      <w:r>
        <w:rPr>
          <w:rFonts w:eastAsiaTheme="minorEastAsia"/>
          <w:bCs/>
          <w:color w:val="000000" w:themeColor="text1"/>
          <w:sz w:val="28"/>
          <w:vertAlign w:val="subscript"/>
        </w:rPr>
        <w:t>1</w:t>
      </w:r>
      <w:bookmarkEnd w:id="1595"/>
      <w:bookmarkEnd w:id="1596"/>
      <w:bookmarkEnd w:id="1597"/>
      <w:bookmarkEnd w:id="1598"/>
    </w:p>
    <w:p>
      <w:pPr>
        <w:adjustRightInd w:val="0"/>
        <w:snapToGrid w:val="0"/>
        <w:spacing w:line="500" w:lineRule="exact"/>
        <w:ind w:firstLine="560"/>
        <w:rPr>
          <w:rFonts w:eastAsiaTheme="minorEastAsia"/>
          <w:color w:val="000000" w:themeColor="text1"/>
          <w:sz w:val="28"/>
        </w:rPr>
      </w:pPr>
      <w:r>
        <w:rPr>
          <w:rFonts w:eastAsiaTheme="minorEastAsia"/>
          <w:color w:val="000000" w:themeColor="text1"/>
          <w:sz w:val="28"/>
        </w:rPr>
        <w:t>作业人员管理系数M</w:t>
      </w:r>
      <w:r>
        <w:rPr>
          <w:rFonts w:eastAsiaTheme="minorEastAsia"/>
          <w:color w:val="000000" w:themeColor="text1"/>
          <w:sz w:val="28"/>
          <w:vertAlign w:val="subscript"/>
        </w:rPr>
        <w:t>1</w:t>
      </w:r>
      <w:r>
        <w:rPr>
          <w:rFonts w:eastAsiaTheme="minorEastAsia"/>
          <w:color w:val="000000" w:themeColor="text1"/>
          <w:sz w:val="28"/>
        </w:rPr>
        <w:t>按下表要求取得。</w:t>
      </w:r>
    </w:p>
    <w:p>
      <w:pPr>
        <w:rPr>
          <w:rFonts w:eastAsiaTheme="minorEastAsia"/>
          <w:bCs/>
          <w:color w:val="000000" w:themeColor="text1"/>
          <w:sz w:val="24"/>
        </w:rPr>
      </w:pPr>
      <w:r>
        <w:rPr>
          <w:rFonts w:eastAsiaTheme="minorEastAsia"/>
          <w:bCs/>
          <w:color w:val="000000" w:themeColor="text1"/>
          <w:sz w:val="24"/>
        </w:rPr>
        <w:br w:type="page"/>
      </w:r>
    </w:p>
    <w:p>
      <w:pPr>
        <w:adjustRightInd w:val="0"/>
        <w:snapToGrid w:val="0"/>
        <w:spacing w:line="500" w:lineRule="atLeast"/>
        <w:ind w:firstLine="480"/>
        <w:jc w:val="center"/>
        <w:rPr>
          <w:rFonts w:eastAsiaTheme="minorEastAsia"/>
          <w:bCs/>
          <w:color w:val="000000" w:themeColor="text1"/>
          <w:sz w:val="24"/>
        </w:rPr>
      </w:pPr>
      <w:r>
        <w:rPr>
          <w:rFonts w:eastAsiaTheme="minorEastAsia"/>
          <w:bCs/>
          <w:color w:val="000000" w:themeColor="text1"/>
          <w:sz w:val="24"/>
        </w:rPr>
        <w:t>表4-5 作业人员管理系数M</w:t>
      </w:r>
      <w:r>
        <w:rPr>
          <w:rFonts w:eastAsiaTheme="minorEastAsia"/>
          <w:bCs/>
          <w:color w:val="000000" w:themeColor="text1"/>
          <w:sz w:val="24"/>
          <w:vertAlign w:val="subscript"/>
        </w:rPr>
        <w:t>1</w:t>
      </w:r>
      <w:r>
        <w:rPr>
          <w:rFonts w:eastAsiaTheme="minorEastAsia"/>
          <w:bCs/>
          <w:color w:val="000000" w:themeColor="text1"/>
          <w:sz w:val="24"/>
        </w:rPr>
        <w:t>取值表</w:t>
      </w:r>
    </w:p>
    <w:tbl>
      <w:tblPr>
        <w:tblStyle w:val="52"/>
        <w:tblW w:w="7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563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序号</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作业人员管理内容</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取值范围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厂长任职安全目标</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2</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安全制度</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3</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有毒、有害工种作业人员健康档案</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4</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安全教育</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5</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劳保用品穿戴是否合格</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6</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各工人员持证上岗情况</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7</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有无违章操作</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8</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事故应急救援预案的组织机构是否完善</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9</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事故应急救援的各级救援人员行动指南是否明确</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10</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安全机构人员</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11</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从业人员的保险情况是否符合要求</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12</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工房定员是否符合标准</w:t>
            </w:r>
          </w:p>
        </w:tc>
        <w:tc>
          <w:tcPr>
            <w:tcW w:w="129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0.93～1</w:t>
            </w:r>
          </w:p>
        </w:tc>
      </w:tr>
    </w:tbl>
    <w:p>
      <w:pPr>
        <w:adjustRightInd w:val="0"/>
        <w:snapToGrid w:val="0"/>
        <w:spacing w:line="500" w:lineRule="exact"/>
        <w:ind w:firstLine="560"/>
        <w:rPr>
          <w:rFonts w:eastAsiaTheme="minorEastAsia"/>
          <w:bCs/>
          <w:color w:val="000000" w:themeColor="text1"/>
          <w:sz w:val="28"/>
        </w:rPr>
      </w:pPr>
      <w:bookmarkStart w:id="1599" w:name="_Toc18898"/>
      <w:bookmarkStart w:id="1600" w:name="_Toc22975_WPSOffice_Level2"/>
      <w:bookmarkStart w:id="1601" w:name="_Toc1408_WPSOffice_Level2"/>
      <w:bookmarkStart w:id="1602" w:name="_Toc31475_WPSOffice_Level2"/>
      <w:r>
        <w:rPr>
          <w:rFonts w:hint="eastAsia"/>
          <w:snapToGrid w:val="0"/>
          <w:color w:val="000000" w:themeColor="text1"/>
          <w:kern w:val="0"/>
          <w:sz w:val="28"/>
          <w:szCs w:val="24"/>
        </w:rPr>
        <w:t>（2）</w:t>
      </w:r>
      <w:r>
        <w:rPr>
          <w:rFonts w:eastAsiaTheme="minorEastAsia"/>
          <w:bCs/>
          <w:color w:val="000000" w:themeColor="text1"/>
          <w:sz w:val="28"/>
        </w:rPr>
        <w:t>设备管理系数M</w:t>
      </w:r>
      <w:r>
        <w:rPr>
          <w:rFonts w:eastAsiaTheme="minorEastAsia"/>
          <w:bCs/>
          <w:color w:val="000000" w:themeColor="text1"/>
          <w:sz w:val="28"/>
          <w:vertAlign w:val="subscript"/>
        </w:rPr>
        <w:t>2</w:t>
      </w:r>
      <w:bookmarkEnd w:id="1599"/>
      <w:bookmarkEnd w:id="1600"/>
      <w:bookmarkEnd w:id="1601"/>
      <w:bookmarkEnd w:id="1602"/>
    </w:p>
    <w:p>
      <w:pPr>
        <w:adjustRightInd w:val="0"/>
        <w:snapToGrid w:val="0"/>
        <w:spacing w:line="500" w:lineRule="exact"/>
        <w:ind w:firstLine="560"/>
        <w:rPr>
          <w:rFonts w:eastAsiaTheme="minorEastAsia"/>
          <w:color w:val="000000" w:themeColor="text1"/>
          <w:sz w:val="28"/>
        </w:rPr>
      </w:pPr>
      <w:r>
        <w:rPr>
          <w:rFonts w:eastAsiaTheme="minorEastAsia"/>
          <w:color w:val="000000" w:themeColor="text1"/>
          <w:sz w:val="28"/>
        </w:rPr>
        <w:t>设备管理系数M</w:t>
      </w:r>
      <w:r>
        <w:rPr>
          <w:rFonts w:eastAsiaTheme="minorEastAsia"/>
          <w:color w:val="000000" w:themeColor="text1"/>
          <w:sz w:val="28"/>
          <w:vertAlign w:val="subscript"/>
        </w:rPr>
        <w:t>2</w:t>
      </w:r>
      <w:r>
        <w:rPr>
          <w:rFonts w:eastAsiaTheme="minorEastAsia"/>
          <w:color w:val="000000" w:themeColor="text1"/>
          <w:sz w:val="28"/>
        </w:rPr>
        <w:t>按下表要求取得。</w:t>
      </w:r>
    </w:p>
    <w:p>
      <w:pPr>
        <w:adjustRightInd w:val="0"/>
        <w:snapToGrid w:val="0"/>
        <w:spacing w:line="500" w:lineRule="atLeast"/>
        <w:ind w:firstLine="480"/>
        <w:jc w:val="center"/>
        <w:rPr>
          <w:rFonts w:eastAsiaTheme="minorEastAsia"/>
          <w:bCs/>
          <w:color w:val="000000" w:themeColor="text1"/>
          <w:sz w:val="24"/>
        </w:rPr>
      </w:pPr>
      <w:r>
        <w:rPr>
          <w:rFonts w:eastAsiaTheme="minorEastAsia"/>
          <w:bCs/>
          <w:color w:val="000000" w:themeColor="text1"/>
          <w:sz w:val="24"/>
        </w:rPr>
        <w:t>表4-6 设备管理系数M</w:t>
      </w:r>
      <w:r>
        <w:rPr>
          <w:rFonts w:eastAsiaTheme="minorEastAsia"/>
          <w:bCs/>
          <w:color w:val="000000" w:themeColor="text1"/>
          <w:sz w:val="24"/>
          <w:vertAlign w:val="subscript"/>
        </w:rPr>
        <w:t>2</w:t>
      </w:r>
      <w:r>
        <w:rPr>
          <w:rFonts w:eastAsiaTheme="minorEastAsia"/>
          <w:bCs/>
          <w:color w:val="000000" w:themeColor="text1"/>
          <w:sz w:val="24"/>
        </w:rPr>
        <w:t>取值表</w:t>
      </w:r>
    </w:p>
    <w:tbl>
      <w:tblPr>
        <w:tblStyle w:val="52"/>
        <w:tblW w:w="7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4457"/>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795"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序号</w:t>
            </w:r>
          </w:p>
        </w:tc>
        <w:tc>
          <w:tcPr>
            <w:tcW w:w="4457"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设备管理系数</w:t>
            </w:r>
          </w:p>
        </w:tc>
        <w:tc>
          <w:tcPr>
            <w:tcW w:w="208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取值范围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pPr>
              <w:numPr>
                <w:ilvl w:val="0"/>
                <w:numId w:val="14"/>
              </w:numPr>
              <w:adjustRightInd w:val="0"/>
              <w:snapToGrid w:val="0"/>
              <w:spacing w:line="240" w:lineRule="exact"/>
              <w:ind w:left="0" w:firstLine="210" w:firstLineChars="100"/>
              <w:rPr>
                <w:rFonts w:eastAsiaTheme="minorEastAsia"/>
                <w:snapToGrid w:val="0"/>
                <w:color w:val="000000" w:themeColor="text1"/>
                <w:kern w:val="0"/>
                <w:szCs w:val="21"/>
              </w:rPr>
            </w:pPr>
          </w:p>
        </w:tc>
        <w:tc>
          <w:tcPr>
            <w:tcW w:w="4457" w:type="dxa"/>
            <w:vAlign w:val="center"/>
          </w:tcPr>
          <w:p>
            <w:pPr>
              <w:adjustRightInd w:val="0"/>
              <w:snapToGrid w:val="0"/>
              <w:spacing w:line="260" w:lineRule="exact"/>
              <w:rPr>
                <w:rFonts w:eastAsiaTheme="minorEastAsia"/>
                <w:snapToGrid w:val="0"/>
                <w:color w:val="000000" w:themeColor="text1"/>
                <w:kern w:val="0"/>
                <w:szCs w:val="21"/>
              </w:rPr>
            </w:pPr>
            <w:r>
              <w:rPr>
                <w:rFonts w:eastAsiaTheme="minorEastAsia"/>
                <w:snapToGrid w:val="0"/>
                <w:color w:val="000000" w:themeColor="text1"/>
                <w:kern w:val="0"/>
                <w:szCs w:val="21"/>
              </w:rPr>
              <w:t>消防器材管理</w:t>
            </w:r>
          </w:p>
        </w:tc>
        <w:tc>
          <w:tcPr>
            <w:tcW w:w="208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pPr>
              <w:numPr>
                <w:ilvl w:val="0"/>
                <w:numId w:val="14"/>
              </w:numPr>
              <w:adjustRightInd w:val="0"/>
              <w:snapToGrid w:val="0"/>
              <w:spacing w:line="240" w:lineRule="exact"/>
              <w:ind w:left="0" w:firstLine="210" w:firstLineChars="100"/>
              <w:rPr>
                <w:rFonts w:eastAsiaTheme="minorEastAsia"/>
                <w:snapToGrid w:val="0"/>
                <w:color w:val="000000" w:themeColor="text1"/>
                <w:kern w:val="0"/>
                <w:szCs w:val="21"/>
              </w:rPr>
            </w:pPr>
          </w:p>
        </w:tc>
        <w:tc>
          <w:tcPr>
            <w:tcW w:w="4457" w:type="dxa"/>
            <w:vAlign w:val="center"/>
          </w:tcPr>
          <w:p>
            <w:pPr>
              <w:adjustRightInd w:val="0"/>
              <w:snapToGrid w:val="0"/>
              <w:spacing w:line="260" w:lineRule="exact"/>
              <w:rPr>
                <w:rFonts w:eastAsiaTheme="minorEastAsia"/>
                <w:snapToGrid w:val="0"/>
                <w:color w:val="000000" w:themeColor="text1"/>
                <w:kern w:val="0"/>
                <w:szCs w:val="21"/>
              </w:rPr>
            </w:pPr>
            <w:r>
              <w:rPr>
                <w:rFonts w:eastAsiaTheme="minorEastAsia"/>
                <w:snapToGrid w:val="0"/>
                <w:color w:val="000000" w:themeColor="text1"/>
                <w:kern w:val="0"/>
                <w:szCs w:val="21"/>
              </w:rPr>
              <w:t>机械设备保养管理</w:t>
            </w:r>
          </w:p>
        </w:tc>
        <w:tc>
          <w:tcPr>
            <w:tcW w:w="208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dxa"/>
            <w:vAlign w:val="center"/>
          </w:tcPr>
          <w:p>
            <w:pPr>
              <w:numPr>
                <w:ilvl w:val="0"/>
                <w:numId w:val="14"/>
              </w:numPr>
              <w:adjustRightInd w:val="0"/>
              <w:snapToGrid w:val="0"/>
              <w:spacing w:line="240" w:lineRule="exact"/>
              <w:ind w:left="0" w:firstLine="210" w:firstLineChars="100"/>
              <w:rPr>
                <w:rFonts w:eastAsiaTheme="minorEastAsia"/>
                <w:snapToGrid w:val="0"/>
                <w:color w:val="000000" w:themeColor="text1"/>
                <w:kern w:val="0"/>
                <w:szCs w:val="21"/>
              </w:rPr>
            </w:pPr>
          </w:p>
        </w:tc>
        <w:tc>
          <w:tcPr>
            <w:tcW w:w="4457" w:type="dxa"/>
            <w:vAlign w:val="center"/>
          </w:tcPr>
          <w:p>
            <w:pPr>
              <w:adjustRightInd w:val="0"/>
              <w:snapToGrid w:val="0"/>
              <w:spacing w:line="260" w:lineRule="exact"/>
              <w:rPr>
                <w:rFonts w:eastAsiaTheme="minorEastAsia"/>
                <w:snapToGrid w:val="0"/>
                <w:color w:val="000000" w:themeColor="text1"/>
                <w:kern w:val="0"/>
                <w:szCs w:val="21"/>
              </w:rPr>
            </w:pPr>
            <w:r>
              <w:rPr>
                <w:rFonts w:eastAsiaTheme="minorEastAsia"/>
                <w:snapToGrid w:val="0"/>
                <w:color w:val="000000" w:themeColor="text1"/>
                <w:kern w:val="0"/>
                <w:szCs w:val="21"/>
              </w:rPr>
              <w:t>避雷设施管理</w:t>
            </w:r>
          </w:p>
        </w:tc>
        <w:tc>
          <w:tcPr>
            <w:tcW w:w="208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95" w:type="dxa"/>
            <w:vAlign w:val="center"/>
          </w:tcPr>
          <w:p>
            <w:pPr>
              <w:numPr>
                <w:ilvl w:val="0"/>
                <w:numId w:val="14"/>
              </w:numPr>
              <w:adjustRightInd w:val="0"/>
              <w:snapToGrid w:val="0"/>
              <w:spacing w:line="240" w:lineRule="exact"/>
              <w:ind w:left="0" w:firstLine="210" w:firstLineChars="100"/>
              <w:rPr>
                <w:rFonts w:eastAsiaTheme="minorEastAsia"/>
                <w:snapToGrid w:val="0"/>
                <w:color w:val="000000" w:themeColor="text1"/>
                <w:kern w:val="0"/>
                <w:szCs w:val="21"/>
              </w:rPr>
            </w:pPr>
          </w:p>
        </w:tc>
        <w:tc>
          <w:tcPr>
            <w:tcW w:w="4457" w:type="dxa"/>
            <w:vAlign w:val="center"/>
          </w:tcPr>
          <w:p>
            <w:pPr>
              <w:adjustRightInd w:val="0"/>
              <w:snapToGrid w:val="0"/>
              <w:spacing w:line="260" w:lineRule="exact"/>
              <w:rPr>
                <w:rFonts w:eastAsiaTheme="minorEastAsia"/>
                <w:snapToGrid w:val="0"/>
                <w:color w:val="000000" w:themeColor="text1"/>
                <w:kern w:val="0"/>
                <w:szCs w:val="21"/>
              </w:rPr>
            </w:pPr>
            <w:r>
              <w:rPr>
                <w:rFonts w:eastAsiaTheme="minorEastAsia"/>
                <w:snapToGrid w:val="0"/>
                <w:color w:val="000000" w:themeColor="text1"/>
                <w:kern w:val="0"/>
                <w:szCs w:val="21"/>
              </w:rPr>
              <w:t>运输车辆管理</w:t>
            </w:r>
          </w:p>
        </w:tc>
        <w:tc>
          <w:tcPr>
            <w:tcW w:w="208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bl>
    <w:p>
      <w:pPr>
        <w:adjustRightInd w:val="0"/>
        <w:snapToGrid w:val="0"/>
        <w:spacing w:line="500" w:lineRule="exact"/>
        <w:ind w:firstLine="560"/>
        <w:rPr>
          <w:rFonts w:eastAsiaTheme="minorEastAsia"/>
          <w:bCs/>
          <w:color w:val="000000" w:themeColor="text1"/>
          <w:sz w:val="28"/>
        </w:rPr>
      </w:pPr>
      <w:bookmarkStart w:id="1603" w:name="_Toc22658_WPSOffice_Level2"/>
      <w:bookmarkStart w:id="1604" w:name="_Toc31346_WPSOffice_Level2"/>
      <w:bookmarkStart w:id="1605" w:name="_Toc32607"/>
      <w:bookmarkStart w:id="1606" w:name="_Toc31663_WPSOffice_Level2"/>
      <w:r>
        <w:rPr>
          <w:rFonts w:hint="eastAsia"/>
          <w:snapToGrid w:val="0"/>
          <w:color w:val="000000" w:themeColor="text1"/>
          <w:kern w:val="0"/>
          <w:sz w:val="28"/>
          <w:szCs w:val="24"/>
        </w:rPr>
        <w:t>（3）</w:t>
      </w:r>
      <w:r>
        <w:rPr>
          <w:rFonts w:eastAsiaTheme="minorEastAsia"/>
          <w:bCs/>
          <w:color w:val="000000" w:themeColor="text1"/>
          <w:sz w:val="28"/>
        </w:rPr>
        <w:t>物料管理系数M</w:t>
      </w:r>
      <w:r>
        <w:rPr>
          <w:rFonts w:eastAsiaTheme="minorEastAsia"/>
          <w:bCs/>
          <w:color w:val="000000" w:themeColor="text1"/>
          <w:sz w:val="28"/>
          <w:vertAlign w:val="subscript"/>
        </w:rPr>
        <w:t>3</w:t>
      </w:r>
      <w:bookmarkEnd w:id="1603"/>
      <w:bookmarkEnd w:id="1604"/>
      <w:bookmarkEnd w:id="1605"/>
      <w:bookmarkEnd w:id="1606"/>
    </w:p>
    <w:p>
      <w:pPr>
        <w:adjustRightInd w:val="0"/>
        <w:snapToGrid w:val="0"/>
        <w:spacing w:line="500" w:lineRule="exact"/>
        <w:ind w:firstLine="560"/>
        <w:rPr>
          <w:rFonts w:eastAsiaTheme="minorEastAsia"/>
          <w:color w:val="000000" w:themeColor="text1"/>
          <w:sz w:val="28"/>
        </w:rPr>
      </w:pPr>
      <w:r>
        <w:rPr>
          <w:rFonts w:eastAsiaTheme="minorEastAsia"/>
          <w:color w:val="000000" w:themeColor="text1"/>
          <w:sz w:val="28"/>
        </w:rPr>
        <w:t>物料管理系数M</w:t>
      </w:r>
      <w:r>
        <w:rPr>
          <w:rFonts w:eastAsiaTheme="minorEastAsia"/>
          <w:color w:val="000000" w:themeColor="text1"/>
          <w:sz w:val="28"/>
          <w:vertAlign w:val="subscript"/>
        </w:rPr>
        <w:t>3</w:t>
      </w:r>
      <w:r>
        <w:rPr>
          <w:rFonts w:eastAsiaTheme="minorEastAsia"/>
          <w:color w:val="000000" w:themeColor="text1"/>
          <w:sz w:val="28"/>
        </w:rPr>
        <w:t>按下表要求取得。</w:t>
      </w:r>
    </w:p>
    <w:p>
      <w:pPr>
        <w:adjustRightInd w:val="0"/>
        <w:snapToGrid w:val="0"/>
        <w:spacing w:line="500" w:lineRule="atLeast"/>
        <w:ind w:firstLine="480"/>
        <w:jc w:val="center"/>
        <w:rPr>
          <w:rFonts w:eastAsiaTheme="minorEastAsia"/>
          <w:bCs/>
          <w:color w:val="000000" w:themeColor="text1"/>
          <w:sz w:val="24"/>
        </w:rPr>
      </w:pPr>
      <w:r>
        <w:rPr>
          <w:rFonts w:eastAsiaTheme="minorEastAsia"/>
          <w:bCs/>
          <w:color w:val="000000" w:themeColor="text1"/>
          <w:sz w:val="24"/>
        </w:rPr>
        <w:t>表4-7 物料管理系数M</w:t>
      </w:r>
      <w:r>
        <w:rPr>
          <w:rFonts w:eastAsiaTheme="minorEastAsia"/>
          <w:bCs/>
          <w:color w:val="000000" w:themeColor="text1"/>
          <w:sz w:val="24"/>
          <w:vertAlign w:val="subscript"/>
        </w:rPr>
        <w:t>3</w:t>
      </w:r>
      <w:r>
        <w:rPr>
          <w:rFonts w:eastAsiaTheme="minorEastAsia"/>
          <w:bCs/>
          <w:color w:val="000000" w:themeColor="text1"/>
          <w:sz w:val="24"/>
        </w:rPr>
        <w:t>取值表</w:t>
      </w:r>
    </w:p>
    <w:tbl>
      <w:tblPr>
        <w:tblStyle w:val="52"/>
        <w:tblW w:w="81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5630"/>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36"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序号</w:t>
            </w:r>
          </w:p>
        </w:tc>
        <w:tc>
          <w:tcPr>
            <w:tcW w:w="563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物料管理系数</w:t>
            </w:r>
          </w:p>
        </w:tc>
        <w:tc>
          <w:tcPr>
            <w:tcW w:w="1844"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取值范围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36" w:type="dxa"/>
            <w:vAlign w:val="center"/>
          </w:tcPr>
          <w:p>
            <w:pPr>
              <w:tabs>
                <w:tab w:val="left" w:pos="363"/>
              </w:tabs>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w:t>
            </w:r>
          </w:p>
        </w:tc>
        <w:tc>
          <w:tcPr>
            <w:tcW w:w="563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危险物品安全管理</w:t>
            </w:r>
          </w:p>
        </w:tc>
        <w:tc>
          <w:tcPr>
            <w:tcW w:w="1844"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6" w:type="dxa"/>
            <w:vAlign w:val="center"/>
          </w:tcPr>
          <w:p>
            <w:pPr>
              <w:tabs>
                <w:tab w:val="left" w:pos="363"/>
              </w:tabs>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2</w:t>
            </w:r>
          </w:p>
        </w:tc>
        <w:tc>
          <w:tcPr>
            <w:tcW w:w="563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成品储运安全管理</w:t>
            </w:r>
          </w:p>
        </w:tc>
        <w:tc>
          <w:tcPr>
            <w:tcW w:w="1844"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36" w:type="dxa"/>
            <w:vAlign w:val="center"/>
          </w:tcPr>
          <w:p>
            <w:pPr>
              <w:tabs>
                <w:tab w:val="left" w:pos="363"/>
              </w:tabs>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3</w:t>
            </w:r>
          </w:p>
        </w:tc>
        <w:tc>
          <w:tcPr>
            <w:tcW w:w="563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化工原料、产品、半成品质量检测检验资料</w:t>
            </w:r>
          </w:p>
        </w:tc>
        <w:tc>
          <w:tcPr>
            <w:tcW w:w="1844"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36" w:type="dxa"/>
            <w:vAlign w:val="center"/>
          </w:tcPr>
          <w:p>
            <w:pPr>
              <w:tabs>
                <w:tab w:val="left" w:pos="363"/>
              </w:tabs>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4</w:t>
            </w:r>
          </w:p>
        </w:tc>
        <w:tc>
          <w:tcPr>
            <w:tcW w:w="563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危险品运输</w:t>
            </w:r>
          </w:p>
        </w:tc>
        <w:tc>
          <w:tcPr>
            <w:tcW w:w="1844"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36" w:type="dxa"/>
            <w:vAlign w:val="center"/>
          </w:tcPr>
          <w:p>
            <w:pPr>
              <w:tabs>
                <w:tab w:val="left" w:pos="363"/>
              </w:tabs>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5</w:t>
            </w:r>
          </w:p>
        </w:tc>
        <w:tc>
          <w:tcPr>
            <w:tcW w:w="5630"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有余药场地的清扫</w:t>
            </w:r>
          </w:p>
        </w:tc>
        <w:tc>
          <w:tcPr>
            <w:tcW w:w="1844" w:type="dxa"/>
            <w:vAlign w:val="center"/>
          </w:tcPr>
          <w:p>
            <w:pPr>
              <w:adjustRightInd w:val="0"/>
              <w:snapToGrid w:val="0"/>
              <w:spacing w:line="26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bl>
    <w:p>
      <w:pPr>
        <w:adjustRightInd w:val="0"/>
        <w:snapToGrid w:val="0"/>
        <w:spacing w:line="500" w:lineRule="exact"/>
        <w:ind w:firstLine="560"/>
        <w:rPr>
          <w:rFonts w:eastAsiaTheme="minorEastAsia"/>
          <w:color w:val="000000" w:themeColor="text1"/>
          <w:sz w:val="28"/>
        </w:rPr>
      </w:pPr>
      <w:bookmarkStart w:id="1607" w:name="_Toc26874_WPSOffice_Level2"/>
      <w:bookmarkStart w:id="1608" w:name="_Toc10509_WPSOffice_Level2"/>
      <w:bookmarkStart w:id="1609" w:name="_Toc21079"/>
      <w:bookmarkStart w:id="1610" w:name="_Toc27912_WPSOffice_Level2"/>
      <w:r>
        <w:rPr>
          <w:rFonts w:eastAsiaTheme="minorEastAsia"/>
          <w:color w:val="000000" w:themeColor="text1"/>
          <w:sz w:val="28"/>
        </w:rPr>
        <w:t>（4）作业环境管理系数M</w:t>
      </w:r>
      <w:r>
        <w:rPr>
          <w:rFonts w:eastAsiaTheme="minorEastAsia"/>
          <w:color w:val="000000" w:themeColor="text1"/>
          <w:sz w:val="28"/>
          <w:vertAlign w:val="subscript"/>
        </w:rPr>
        <w:t>4</w:t>
      </w:r>
      <w:bookmarkEnd w:id="1607"/>
      <w:bookmarkEnd w:id="1608"/>
      <w:bookmarkEnd w:id="1609"/>
      <w:bookmarkEnd w:id="1610"/>
    </w:p>
    <w:p>
      <w:pPr>
        <w:adjustRightInd w:val="0"/>
        <w:snapToGrid w:val="0"/>
        <w:spacing w:line="500" w:lineRule="exact"/>
        <w:ind w:firstLine="560"/>
        <w:rPr>
          <w:rFonts w:eastAsiaTheme="minorEastAsia"/>
          <w:color w:val="000000" w:themeColor="text1"/>
          <w:sz w:val="28"/>
        </w:rPr>
      </w:pPr>
      <w:r>
        <w:rPr>
          <w:rFonts w:eastAsiaTheme="minorEastAsia"/>
          <w:color w:val="000000" w:themeColor="text1"/>
          <w:sz w:val="28"/>
        </w:rPr>
        <w:t>作业环境管理系数M</w:t>
      </w:r>
      <w:r>
        <w:rPr>
          <w:rFonts w:eastAsiaTheme="minorEastAsia"/>
          <w:color w:val="000000" w:themeColor="text1"/>
          <w:sz w:val="28"/>
          <w:vertAlign w:val="subscript"/>
        </w:rPr>
        <w:t>4</w:t>
      </w:r>
      <w:r>
        <w:rPr>
          <w:rFonts w:eastAsiaTheme="minorEastAsia"/>
          <w:color w:val="000000" w:themeColor="text1"/>
          <w:sz w:val="28"/>
        </w:rPr>
        <w:t>按下表要求取得。</w:t>
      </w:r>
    </w:p>
    <w:p>
      <w:pPr>
        <w:rPr>
          <w:rFonts w:eastAsiaTheme="minorEastAsia"/>
          <w:bCs/>
          <w:color w:val="000000" w:themeColor="text1"/>
          <w:sz w:val="24"/>
        </w:rPr>
      </w:pPr>
      <w:r>
        <w:rPr>
          <w:rFonts w:eastAsiaTheme="minorEastAsia"/>
          <w:bCs/>
          <w:color w:val="000000" w:themeColor="text1"/>
          <w:sz w:val="24"/>
        </w:rPr>
        <w:br w:type="page"/>
      </w:r>
    </w:p>
    <w:p>
      <w:pPr>
        <w:adjustRightInd w:val="0"/>
        <w:snapToGrid w:val="0"/>
        <w:spacing w:line="500" w:lineRule="atLeast"/>
        <w:ind w:firstLine="480"/>
        <w:jc w:val="center"/>
        <w:rPr>
          <w:rFonts w:eastAsiaTheme="minorEastAsia"/>
          <w:bCs/>
          <w:color w:val="000000" w:themeColor="text1"/>
          <w:sz w:val="24"/>
        </w:rPr>
      </w:pPr>
      <w:r>
        <w:rPr>
          <w:rFonts w:eastAsiaTheme="minorEastAsia"/>
          <w:bCs/>
          <w:color w:val="000000" w:themeColor="text1"/>
          <w:sz w:val="24"/>
        </w:rPr>
        <w:t>表4-8 作业环境管理系数M</w:t>
      </w:r>
      <w:r>
        <w:rPr>
          <w:rFonts w:eastAsiaTheme="minorEastAsia"/>
          <w:bCs/>
          <w:color w:val="000000" w:themeColor="text1"/>
          <w:sz w:val="24"/>
          <w:vertAlign w:val="subscript"/>
        </w:rPr>
        <w:t>4</w:t>
      </w:r>
      <w:r>
        <w:rPr>
          <w:rFonts w:eastAsiaTheme="minorEastAsia"/>
          <w:bCs/>
          <w:color w:val="000000" w:themeColor="text1"/>
          <w:sz w:val="24"/>
        </w:rPr>
        <w:t>取值表</w:t>
      </w:r>
    </w:p>
    <w:tbl>
      <w:tblPr>
        <w:tblStyle w:val="52"/>
        <w:tblW w:w="8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5630"/>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6"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序号</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作业环境管理系数</w:t>
            </w:r>
          </w:p>
        </w:tc>
        <w:tc>
          <w:tcPr>
            <w:tcW w:w="1868"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取值范围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36" w:type="dxa"/>
            <w:vAlign w:val="center"/>
          </w:tcPr>
          <w:p>
            <w:pPr>
              <w:tabs>
                <w:tab w:val="left" w:pos="363"/>
              </w:tabs>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1</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防静电措施</w:t>
            </w:r>
          </w:p>
        </w:tc>
        <w:tc>
          <w:tcPr>
            <w:tcW w:w="1868"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36" w:type="dxa"/>
            <w:vAlign w:val="center"/>
          </w:tcPr>
          <w:p>
            <w:pPr>
              <w:tabs>
                <w:tab w:val="left" w:pos="363"/>
              </w:tabs>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2</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设备、管理接地情况</w:t>
            </w:r>
          </w:p>
        </w:tc>
        <w:tc>
          <w:tcPr>
            <w:tcW w:w="1868"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36" w:type="dxa"/>
            <w:vAlign w:val="center"/>
          </w:tcPr>
          <w:p>
            <w:pPr>
              <w:tabs>
                <w:tab w:val="left" w:pos="363"/>
              </w:tabs>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3</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通道是否畅通</w:t>
            </w:r>
          </w:p>
        </w:tc>
        <w:tc>
          <w:tcPr>
            <w:tcW w:w="1868"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36" w:type="dxa"/>
            <w:vAlign w:val="center"/>
          </w:tcPr>
          <w:p>
            <w:pPr>
              <w:tabs>
                <w:tab w:val="left" w:pos="363"/>
              </w:tabs>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4</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通风情况</w:t>
            </w:r>
          </w:p>
        </w:tc>
        <w:tc>
          <w:tcPr>
            <w:tcW w:w="1868"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36" w:type="dxa"/>
            <w:vAlign w:val="center"/>
          </w:tcPr>
          <w:p>
            <w:pPr>
              <w:tabs>
                <w:tab w:val="left" w:pos="363"/>
              </w:tabs>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5</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工库房、设备内废药品清理情况</w:t>
            </w:r>
          </w:p>
        </w:tc>
        <w:tc>
          <w:tcPr>
            <w:tcW w:w="1868"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36" w:type="dxa"/>
            <w:vAlign w:val="center"/>
          </w:tcPr>
          <w:p>
            <w:pPr>
              <w:tabs>
                <w:tab w:val="left" w:pos="363"/>
              </w:tabs>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6</w:t>
            </w:r>
          </w:p>
        </w:tc>
        <w:tc>
          <w:tcPr>
            <w:tcW w:w="5630"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地面情况</w:t>
            </w:r>
          </w:p>
        </w:tc>
        <w:tc>
          <w:tcPr>
            <w:tcW w:w="1868" w:type="dxa"/>
            <w:vAlign w:val="center"/>
          </w:tcPr>
          <w:p>
            <w:pPr>
              <w:adjustRightInd w:val="0"/>
              <w:snapToGrid w:val="0"/>
              <w:spacing w:line="240" w:lineRule="exact"/>
              <w:jc w:val="center"/>
              <w:rPr>
                <w:rFonts w:eastAsiaTheme="minorEastAsia"/>
                <w:snapToGrid w:val="0"/>
                <w:color w:val="000000" w:themeColor="text1"/>
                <w:kern w:val="0"/>
                <w:szCs w:val="21"/>
              </w:rPr>
            </w:pPr>
            <w:r>
              <w:rPr>
                <w:rFonts w:eastAsiaTheme="minorEastAsia"/>
                <w:snapToGrid w:val="0"/>
                <w:color w:val="000000" w:themeColor="text1"/>
                <w:kern w:val="0"/>
                <w:szCs w:val="21"/>
              </w:rPr>
              <w:t>0.93～1</w:t>
            </w:r>
          </w:p>
        </w:tc>
      </w:tr>
    </w:tbl>
    <w:p>
      <w:pPr>
        <w:adjustRightInd w:val="0"/>
        <w:snapToGrid w:val="0"/>
        <w:ind w:firstLine="480"/>
        <w:rPr>
          <w:i/>
          <w:iCs/>
          <w:color w:val="000000" w:themeColor="text1"/>
        </w:rPr>
      </w:pPr>
      <w:r>
        <w:rPr>
          <w:rFonts w:eastAsiaTheme="minorEastAsia"/>
          <w:color w:val="000000" w:themeColor="text1"/>
          <w:szCs w:val="21"/>
        </w:rPr>
        <w:t>注：</w:t>
      </w:r>
      <w:r>
        <w:rPr>
          <w:rFonts w:eastAsiaTheme="minorEastAsia"/>
          <w:color w:val="000000" w:themeColor="text1"/>
          <w:szCs w:val="21"/>
        </w:rPr>
        <w:sym w:font="Wingdings" w:char="F081"/>
      </w:r>
      <w:r>
        <w:rPr>
          <w:rFonts w:eastAsiaTheme="minorEastAsia"/>
          <w:color w:val="000000" w:themeColor="text1"/>
          <w:szCs w:val="21"/>
        </w:rPr>
        <w:t>上述M</w:t>
      </w:r>
      <w:r>
        <w:rPr>
          <w:rFonts w:eastAsiaTheme="minorEastAsia"/>
          <w:color w:val="000000" w:themeColor="text1"/>
          <w:szCs w:val="21"/>
          <w:vertAlign w:val="subscript"/>
        </w:rPr>
        <w:t>1</w:t>
      </w:r>
      <w:r>
        <w:rPr>
          <w:rFonts w:eastAsiaTheme="minorEastAsia"/>
          <w:color w:val="000000" w:themeColor="text1"/>
          <w:szCs w:val="21"/>
        </w:rPr>
        <w:t>、M</w:t>
      </w:r>
      <w:r>
        <w:rPr>
          <w:rFonts w:eastAsiaTheme="minorEastAsia"/>
          <w:color w:val="000000" w:themeColor="text1"/>
          <w:szCs w:val="21"/>
          <w:vertAlign w:val="subscript"/>
        </w:rPr>
        <w:t>2</w:t>
      </w:r>
      <w:r>
        <w:rPr>
          <w:rFonts w:eastAsiaTheme="minorEastAsia"/>
          <w:color w:val="000000" w:themeColor="text1"/>
          <w:szCs w:val="21"/>
        </w:rPr>
        <w:t>、M</w:t>
      </w:r>
      <w:r>
        <w:rPr>
          <w:rFonts w:eastAsiaTheme="minorEastAsia"/>
          <w:color w:val="000000" w:themeColor="text1"/>
          <w:szCs w:val="21"/>
          <w:vertAlign w:val="subscript"/>
        </w:rPr>
        <w:t>3</w:t>
      </w:r>
      <w:r>
        <w:rPr>
          <w:rFonts w:eastAsiaTheme="minorEastAsia"/>
          <w:color w:val="000000" w:themeColor="text1"/>
          <w:szCs w:val="21"/>
        </w:rPr>
        <w:t>、M</w:t>
      </w:r>
      <w:r>
        <w:rPr>
          <w:rFonts w:eastAsiaTheme="minorEastAsia"/>
          <w:color w:val="000000" w:themeColor="text1"/>
          <w:szCs w:val="21"/>
          <w:vertAlign w:val="subscript"/>
        </w:rPr>
        <w:t>4</w:t>
      </w:r>
      <w:r>
        <w:rPr>
          <w:rFonts w:eastAsiaTheme="minorEastAsia"/>
          <w:color w:val="000000" w:themeColor="text1"/>
          <w:szCs w:val="21"/>
        </w:rPr>
        <w:t>的取值分别按各自系数范围内的数值取得，然后相乘所得，如存在不符合的项目皆赋值1、完全符合则取下限值、有部分符合且部分不符合在取值范围内取值</w:t>
      </w:r>
      <w:r>
        <w:rPr>
          <w:rFonts w:hint="eastAsia" w:eastAsiaTheme="minorEastAsia"/>
          <w:color w:val="000000" w:themeColor="text1"/>
          <w:szCs w:val="21"/>
        </w:rPr>
        <w:t>；</w:t>
      </w:r>
      <w:r>
        <w:rPr>
          <w:rFonts w:eastAsiaTheme="minorEastAsia"/>
          <w:color w:val="000000" w:themeColor="text1"/>
          <w:szCs w:val="21"/>
        </w:rPr>
        <w:sym w:font="Wingdings" w:char="F082"/>
      </w:r>
      <w:r>
        <w:rPr>
          <w:rFonts w:eastAsiaTheme="minorEastAsia"/>
          <w:color w:val="000000" w:themeColor="text1"/>
          <w:szCs w:val="21"/>
        </w:rPr>
        <w:t>考虑了管理系数后的危险等级的划分可以不作变动，按上“表4-4 危险性程度分级的分数值”划分。</w:t>
      </w:r>
    </w:p>
    <w:p>
      <w:pPr>
        <w:pStyle w:val="19"/>
        <w:spacing w:afterLines="100" w:line="500" w:lineRule="exact"/>
        <w:rPr>
          <w:rFonts w:ascii="黑体" w:hAnsi="宋体" w:eastAsia="黑体"/>
          <w:color w:val="000000" w:themeColor="text1"/>
          <w:kern w:val="3"/>
          <w:sz w:val="28"/>
          <w:szCs w:val="28"/>
        </w:rPr>
      </w:pPr>
      <w:bookmarkStart w:id="1611" w:name="_Toc3759"/>
      <w:bookmarkStart w:id="1612" w:name="_Toc10911"/>
      <w:bookmarkStart w:id="1613" w:name="_Toc259982248"/>
      <w:bookmarkStart w:id="1614" w:name="_Toc25752"/>
      <w:bookmarkStart w:id="1615" w:name="_Toc17960"/>
      <w:bookmarkStart w:id="1616" w:name="_Toc9522"/>
      <w:bookmarkStart w:id="1617" w:name="_Toc20363"/>
      <w:bookmarkStart w:id="1618" w:name="_Toc5491"/>
      <w:bookmarkStart w:id="1619" w:name="_Toc3064"/>
      <w:bookmarkStart w:id="1620" w:name="_Toc16549"/>
      <w:bookmarkStart w:id="1621" w:name="_Toc11480"/>
      <w:r>
        <w:rPr>
          <w:rFonts w:hint="eastAsia" w:ascii="黑体" w:hAnsi="宋体" w:eastAsia="黑体"/>
          <w:color w:val="000000" w:themeColor="text1"/>
          <w:kern w:val="3"/>
          <w:sz w:val="28"/>
          <w:szCs w:val="28"/>
        </w:rPr>
        <w:t>4.3.3危险度评价法简介</w:t>
      </w:r>
      <w:bookmarkEnd w:id="1611"/>
      <w:bookmarkEnd w:id="1612"/>
      <w:bookmarkEnd w:id="1613"/>
      <w:bookmarkEnd w:id="1614"/>
      <w:bookmarkEnd w:id="1615"/>
      <w:bookmarkEnd w:id="1616"/>
      <w:bookmarkEnd w:id="1617"/>
      <w:bookmarkEnd w:id="1618"/>
      <w:bookmarkEnd w:id="1619"/>
      <w:bookmarkEnd w:id="1620"/>
      <w:bookmarkEnd w:id="1621"/>
    </w:p>
    <w:p>
      <w:pPr>
        <w:widowControl/>
        <w:shd w:val="clear" w:color="auto" w:fill="FFFFFF"/>
        <w:adjustRightInd w:val="0"/>
        <w:snapToGrid w:val="0"/>
        <w:spacing w:line="500" w:lineRule="exact"/>
        <w:ind w:firstLine="560" w:firstLineChars="200"/>
        <w:rPr>
          <w:color w:val="000000" w:themeColor="text1"/>
        </w:rPr>
      </w:pPr>
      <w:bookmarkStart w:id="1622" w:name="_Toc2185"/>
      <w:bookmarkStart w:id="1623" w:name="_Toc3626"/>
      <w:bookmarkStart w:id="1624" w:name="_Toc4592"/>
      <w:bookmarkStart w:id="1625" w:name="_Toc15599"/>
      <w:bookmarkStart w:id="1626" w:name="_Toc28271"/>
      <w:r>
        <w:rPr>
          <w:rFonts w:eastAsiaTheme="minorEastAsia"/>
          <w:color w:val="000000" w:themeColor="text1"/>
          <w:sz w:val="28"/>
        </w:rPr>
        <w:t>借鉴日本劳动省“六阶段法”的定量评价表，结合我国《石油化工企业设计防火标准(2018年版)》（GB 50160-2008）、《压力容器中化学介质毒性危害和爆炸危险程度分类标准》（HG/T 20660-2017）等有关标准，编制了危险度评价取值表，详见下表4-9所示。规定了危险度由物质、容量、温度、压力和操作5个项目共同确定。其危险度分别按A=10分；B=5分；C=2分；D=0分赋值计分，由累计分值确定单元危险度，危险度分级如下表4-10所示。</w:t>
      </w:r>
      <w:bookmarkEnd w:id="1622"/>
      <w:bookmarkEnd w:id="1623"/>
      <w:bookmarkEnd w:id="1624"/>
      <w:bookmarkEnd w:id="1625"/>
      <w:bookmarkEnd w:id="1626"/>
      <w:bookmarkStart w:id="1627" w:name="_Toc28108"/>
      <w:bookmarkStart w:id="1628" w:name="_Toc28965"/>
      <w:bookmarkStart w:id="1629" w:name="_Toc23676"/>
      <w:bookmarkStart w:id="1630" w:name="_Toc28786"/>
    </w:p>
    <w:p>
      <w:pPr>
        <w:widowControl/>
        <w:shd w:val="clear" w:color="auto" w:fill="FFFFFF"/>
        <w:adjustRightInd w:val="0"/>
        <w:snapToGrid w:val="0"/>
        <w:spacing w:line="500" w:lineRule="exact"/>
        <w:ind w:firstLine="480" w:firstLineChars="200"/>
        <w:jc w:val="center"/>
        <w:rPr>
          <w:rFonts w:eastAsiaTheme="minorEastAsia"/>
          <w:color w:val="000000" w:themeColor="text1"/>
          <w:sz w:val="24"/>
        </w:rPr>
      </w:pPr>
      <w:r>
        <w:rPr>
          <w:rFonts w:eastAsiaTheme="minorEastAsia"/>
          <w:color w:val="000000" w:themeColor="text1"/>
          <w:sz w:val="24"/>
        </w:rPr>
        <w:t>表4-9 危险度评价取值表</w:t>
      </w:r>
      <w:bookmarkEnd w:id="1627"/>
      <w:bookmarkEnd w:id="1628"/>
      <w:bookmarkEnd w:id="1629"/>
      <w:bookmarkEnd w:id="1630"/>
    </w:p>
    <w:tbl>
      <w:tblPr>
        <w:tblStyle w:val="52"/>
        <w:tblW w:w="8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951"/>
        <w:gridCol w:w="1885"/>
        <w:gridCol w:w="2205"/>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440"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项目/分值</w:t>
            </w:r>
          </w:p>
        </w:tc>
        <w:tc>
          <w:tcPr>
            <w:tcW w:w="1951"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A（10分）</w:t>
            </w:r>
          </w:p>
        </w:tc>
        <w:tc>
          <w:tcPr>
            <w:tcW w:w="1885"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B（5分）</w:t>
            </w:r>
          </w:p>
        </w:tc>
        <w:tc>
          <w:tcPr>
            <w:tcW w:w="2205"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C（2分）</w:t>
            </w:r>
          </w:p>
        </w:tc>
        <w:tc>
          <w:tcPr>
            <w:tcW w:w="1405"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D（0分）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1440" w:type="dxa"/>
          </w:tcPr>
          <w:p>
            <w:pPr>
              <w:spacing w:line="280" w:lineRule="exact"/>
              <w:rPr>
                <w:rFonts w:ascii="宋体" w:hAnsi="宋体" w:cs="宋体"/>
                <w:color w:val="000000" w:themeColor="text1"/>
                <w:szCs w:val="21"/>
              </w:rPr>
            </w:pPr>
            <w:r>
              <w:rPr>
                <w:rFonts w:hint="eastAsia" w:ascii="宋体" w:hAnsi="宋体" w:cs="宋体"/>
                <w:color w:val="000000" w:themeColor="text1"/>
                <w:szCs w:val="21"/>
              </w:rPr>
              <w:t>物质（系指单元中危险、有害程度最大之物质）。</w:t>
            </w:r>
          </w:p>
        </w:tc>
        <w:tc>
          <w:tcPr>
            <w:tcW w:w="1951"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⑴甲类可燃气体</w:t>
            </w:r>
            <w:r>
              <w:rPr>
                <w:rFonts w:hint="eastAsia" w:ascii="宋体" w:hAnsi="宋体" w:cs="宋体"/>
                <w:color w:val="000000" w:themeColor="text1"/>
                <w:szCs w:val="21"/>
                <w:vertAlign w:val="superscript"/>
              </w:rPr>
              <w:t>*1</w:t>
            </w:r>
            <w:r>
              <w:rPr>
                <w:rFonts w:hint="eastAsia" w:ascii="宋体" w:hAnsi="宋体" w:cs="宋体"/>
                <w:color w:val="000000" w:themeColor="text1"/>
                <w:szCs w:val="21"/>
              </w:rPr>
              <w:t>；</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⑵</w:t>
            </w:r>
            <w:r>
              <w:rPr>
                <w:rFonts w:hint="eastAsia" w:ascii="宋体" w:hAnsi="宋体" w:cs="宋体"/>
                <w:color w:val="000000" w:themeColor="text1"/>
                <w:spacing w:val="-20"/>
                <w:szCs w:val="21"/>
              </w:rPr>
              <w:t>甲</w:t>
            </w:r>
            <w:r>
              <w:rPr>
                <w:rFonts w:hint="eastAsia" w:ascii="宋体" w:hAnsi="宋体" w:cs="宋体"/>
                <w:color w:val="000000" w:themeColor="text1"/>
                <w:spacing w:val="-20"/>
                <w:szCs w:val="21"/>
                <w:vertAlign w:val="subscript"/>
              </w:rPr>
              <w:t>A</w:t>
            </w:r>
            <w:r>
              <w:rPr>
                <w:rFonts w:hint="eastAsia" w:ascii="宋体" w:hAnsi="宋体" w:cs="宋体"/>
                <w:color w:val="000000" w:themeColor="text1"/>
                <w:szCs w:val="21"/>
              </w:rPr>
              <w:t>类物质及液态烃类；</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⑶甲类固体；</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⑷极度危害介质</w:t>
            </w:r>
            <w:r>
              <w:rPr>
                <w:rFonts w:hint="eastAsia" w:ascii="宋体" w:hAnsi="宋体" w:cs="宋体"/>
                <w:color w:val="000000" w:themeColor="text1"/>
                <w:szCs w:val="21"/>
                <w:vertAlign w:val="superscript"/>
              </w:rPr>
              <w:t>*2</w:t>
            </w:r>
          </w:p>
        </w:tc>
        <w:tc>
          <w:tcPr>
            <w:tcW w:w="1885"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⑴乙类可燃气体；</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⑵</w:t>
            </w:r>
            <w:r>
              <w:rPr>
                <w:rFonts w:hint="eastAsia" w:ascii="宋体" w:hAnsi="宋体" w:cs="宋体"/>
                <w:color w:val="000000" w:themeColor="text1"/>
                <w:spacing w:val="-20"/>
                <w:szCs w:val="21"/>
              </w:rPr>
              <w:t>甲</w:t>
            </w:r>
            <w:r>
              <w:rPr>
                <w:rFonts w:hint="eastAsia" w:ascii="宋体" w:hAnsi="宋体" w:cs="宋体"/>
                <w:color w:val="000000" w:themeColor="text1"/>
                <w:spacing w:val="-20"/>
                <w:szCs w:val="21"/>
                <w:vertAlign w:val="subscript"/>
              </w:rPr>
              <w:t>B</w:t>
            </w:r>
            <w:r>
              <w:rPr>
                <w:rFonts w:hint="eastAsia" w:ascii="宋体" w:hAnsi="宋体" w:cs="宋体"/>
                <w:color w:val="000000" w:themeColor="text1"/>
                <w:szCs w:val="21"/>
              </w:rPr>
              <w:t>、</w:t>
            </w:r>
            <w:r>
              <w:rPr>
                <w:rFonts w:hint="eastAsia" w:ascii="宋体" w:hAnsi="宋体" w:cs="宋体"/>
                <w:color w:val="000000" w:themeColor="text1"/>
                <w:spacing w:val="-20"/>
                <w:szCs w:val="21"/>
              </w:rPr>
              <w:t>乙</w:t>
            </w:r>
            <w:r>
              <w:rPr>
                <w:rFonts w:hint="eastAsia" w:ascii="宋体" w:hAnsi="宋体" w:cs="宋体"/>
                <w:color w:val="000000" w:themeColor="text1"/>
                <w:spacing w:val="-20"/>
                <w:szCs w:val="21"/>
                <w:vertAlign w:val="subscript"/>
              </w:rPr>
              <w:t>A</w:t>
            </w:r>
            <w:r>
              <w:rPr>
                <w:rFonts w:hint="eastAsia" w:ascii="宋体" w:hAnsi="宋体" w:cs="宋体"/>
                <w:color w:val="000000" w:themeColor="text1"/>
                <w:szCs w:val="21"/>
              </w:rPr>
              <w:t>类可燃液体；</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⑶乙类固体；</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⑷高度危害介质</w:t>
            </w:r>
          </w:p>
        </w:tc>
        <w:tc>
          <w:tcPr>
            <w:tcW w:w="2205"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⑴</w:t>
            </w:r>
            <w:r>
              <w:rPr>
                <w:rFonts w:hint="eastAsia" w:ascii="宋体" w:hAnsi="宋体" w:cs="宋体"/>
                <w:color w:val="000000" w:themeColor="text1"/>
                <w:spacing w:val="-20"/>
                <w:szCs w:val="21"/>
              </w:rPr>
              <w:t>乙</w:t>
            </w:r>
            <w:r>
              <w:rPr>
                <w:rFonts w:hint="eastAsia" w:ascii="宋体" w:hAnsi="宋体" w:cs="宋体"/>
                <w:color w:val="000000" w:themeColor="text1"/>
                <w:spacing w:val="-20"/>
                <w:szCs w:val="21"/>
                <w:vertAlign w:val="subscript"/>
              </w:rPr>
              <w:t>B</w:t>
            </w:r>
            <w:r>
              <w:rPr>
                <w:rFonts w:hint="eastAsia" w:ascii="宋体" w:hAnsi="宋体" w:cs="宋体"/>
                <w:color w:val="000000" w:themeColor="text1"/>
                <w:szCs w:val="21"/>
              </w:rPr>
              <w:t>、丙</w:t>
            </w:r>
            <w:r>
              <w:rPr>
                <w:rFonts w:hint="eastAsia" w:ascii="宋体" w:hAnsi="宋体" w:cs="宋体"/>
                <w:color w:val="000000" w:themeColor="text1"/>
                <w:szCs w:val="21"/>
                <w:vertAlign w:val="subscript"/>
              </w:rPr>
              <w:t>A</w:t>
            </w:r>
            <w:r>
              <w:rPr>
                <w:rFonts w:hint="eastAsia" w:ascii="宋体" w:hAnsi="宋体" w:cs="宋体"/>
                <w:color w:val="000000" w:themeColor="text1"/>
                <w:szCs w:val="21"/>
              </w:rPr>
              <w:t>、丙</w:t>
            </w:r>
            <w:r>
              <w:rPr>
                <w:rFonts w:hint="eastAsia" w:ascii="宋体" w:hAnsi="宋体" w:cs="宋体"/>
                <w:color w:val="000000" w:themeColor="text1"/>
                <w:szCs w:val="21"/>
                <w:vertAlign w:val="subscript"/>
              </w:rPr>
              <w:t>B</w:t>
            </w:r>
            <w:r>
              <w:rPr>
                <w:rFonts w:hint="eastAsia" w:ascii="宋体" w:hAnsi="宋体" w:cs="宋体"/>
                <w:color w:val="000000" w:themeColor="text1"/>
                <w:szCs w:val="21"/>
              </w:rPr>
              <w:t xml:space="preserve"> 类可燃液体；</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⑵丙类固体；</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⑶中、轻度危害介质。</w:t>
            </w:r>
          </w:p>
        </w:tc>
        <w:tc>
          <w:tcPr>
            <w:tcW w:w="1405"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不属左述之A、B、C项之物质。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40"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容量</w:t>
            </w:r>
            <w:r>
              <w:rPr>
                <w:rFonts w:hint="eastAsia" w:ascii="宋体" w:hAnsi="宋体" w:cs="宋体"/>
                <w:color w:val="000000" w:themeColor="text1"/>
                <w:szCs w:val="21"/>
                <w:vertAlign w:val="superscript"/>
              </w:rPr>
              <w:t>*3</w:t>
            </w:r>
          </w:p>
        </w:tc>
        <w:tc>
          <w:tcPr>
            <w:tcW w:w="1951"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⑴气体1000m</w:t>
            </w:r>
            <w:r>
              <w:rPr>
                <w:rFonts w:hint="eastAsia" w:ascii="宋体" w:hAnsi="宋体" w:cs="宋体"/>
                <w:color w:val="000000" w:themeColor="text1"/>
                <w:szCs w:val="21"/>
                <w:vertAlign w:val="superscript"/>
              </w:rPr>
              <w:t>3</w:t>
            </w:r>
            <w:r>
              <w:rPr>
                <w:rFonts w:hint="eastAsia" w:ascii="宋体" w:hAnsi="宋体" w:cs="宋体"/>
                <w:color w:val="000000" w:themeColor="text1"/>
                <w:szCs w:val="21"/>
              </w:rPr>
              <w:t>以上；</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⑵液体100m</w:t>
            </w:r>
            <w:r>
              <w:rPr>
                <w:rFonts w:hint="eastAsia" w:ascii="宋体" w:hAnsi="宋体" w:cs="宋体"/>
                <w:color w:val="000000" w:themeColor="text1"/>
                <w:szCs w:val="21"/>
                <w:vertAlign w:val="superscript"/>
              </w:rPr>
              <w:t>3</w:t>
            </w:r>
            <w:r>
              <w:rPr>
                <w:rFonts w:hint="eastAsia" w:ascii="宋体" w:hAnsi="宋体" w:cs="宋体"/>
                <w:color w:val="000000" w:themeColor="text1"/>
                <w:szCs w:val="21"/>
              </w:rPr>
              <w:t>以上</w:t>
            </w:r>
          </w:p>
        </w:tc>
        <w:tc>
          <w:tcPr>
            <w:tcW w:w="1885"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⑴气体500m</w:t>
            </w:r>
            <w:r>
              <w:rPr>
                <w:rFonts w:hint="eastAsia" w:ascii="宋体" w:hAnsi="宋体" w:cs="宋体"/>
                <w:color w:val="000000" w:themeColor="text1"/>
                <w:szCs w:val="21"/>
                <w:vertAlign w:val="superscript"/>
              </w:rPr>
              <w:t>3</w:t>
            </w:r>
            <w:r>
              <w:rPr>
                <w:rFonts w:hint="eastAsia" w:ascii="宋体" w:hAnsi="宋体" w:cs="宋体"/>
                <w:color w:val="000000" w:themeColor="text1"/>
                <w:szCs w:val="21"/>
              </w:rPr>
              <w:t>～1000m</w:t>
            </w:r>
            <w:r>
              <w:rPr>
                <w:rFonts w:hint="eastAsia" w:ascii="宋体" w:hAnsi="宋体" w:cs="宋体"/>
                <w:color w:val="000000" w:themeColor="text1"/>
                <w:szCs w:val="21"/>
                <w:vertAlign w:val="superscript"/>
              </w:rPr>
              <w:t>3</w:t>
            </w:r>
            <w:r>
              <w:rPr>
                <w:rFonts w:hint="eastAsia" w:ascii="宋体" w:hAnsi="宋体" w:cs="宋体"/>
                <w:color w:val="000000" w:themeColor="text1"/>
                <w:szCs w:val="21"/>
              </w:rPr>
              <w:t>；</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⑵液体50m</w:t>
            </w:r>
            <w:r>
              <w:rPr>
                <w:rFonts w:hint="eastAsia" w:ascii="宋体" w:hAnsi="宋体" w:cs="宋体"/>
                <w:color w:val="000000" w:themeColor="text1"/>
                <w:szCs w:val="21"/>
                <w:vertAlign w:val="superscript"/>
              </w:rPr>
              <w:t>3</w:t>
            </w:r>
            <w:r>
              <w:rPr>
                <w:rFonts w:hint="eastAsia" w:ascii="宋体" w:hAnsi="宋体" w:cs="宋体"/>
                <w:color w:val="000000" w:themeColor="text1"/>
                <w:szCs w:val="21"/>
              </w:rPr>
              <w:t>～100m</w:t>
            </w:r>
            <w:r>
              <w:rPr>
                <w:rFonts w:hint="eastAsia" w:ascii="宋体" w:hAnsi="宋体" w:cs="宋体"/>
                <w:color w:val="000000" w:themeColor="text1"/>
                <w:szCs w:val="21"/>
                <w:vertAlign w:val="superscript"/>
              </w:rPr>
              <w:t>3</w:t>
            </w:r>
          </w:p>
        </w:tc>
        <w:tc>
          <w:tcPr>
            <w:tcW w:w="2205"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⑴气体100m</w:t>
            </w:r>
            <w:r>
              <w:rPr>
                <w:rFonts w:hint="eastAsia" w:ascii="宋体" w:hAnsi="宋体" w:cs="宋体"/>
                <w:color w:val="000000" w:themeColor="text1"/>
                <w:szCs w:val="21"/>
                <w:vertAlign w:val="superscript"/>
              </w:rPr>
              <w:t>3</w:t>
            </w:r>
            <w:r>
              <w:rPr>
                <w:rFonts w:hint="eastAsia" w:ascii="宋体" w:hAnsi="宋体" w:cs="宋体"/>
                <w:color w:val="000000" w:themeColor="text1"/>
                <w:szCs w:val="21"/>
              </w:rPr>
              <w:t>～500m</w:t>
            </w:r>
            <w:r>
              <w:rPr>
                <w:rFonts w:hint="eastAsia" w:ascii="宋体" w:hAnsi="宋体" w:cs="宋体"/>
                <w:color w:val="000000" w:themeColor="text1"/>
                <w:szCs w:val="21"/>
                <w:vertAlign w:val="superscript"/>
              </w:rPr>
              <w:t>3</w:t>
            </w:r>
            <w:r>
              <w:rPr>
                <w:rFonts w:hint="eastAsia" w:ascii="宋体" w:hAnsi="宋体" w:cs="宋体"/>
                <w:color w:val="000000" w:themeColor="text1"/>
                <w:szCs w:val="21"/>
              </w:rPr>
              <w:t>；</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⑵液体10m</w:t>
            </w:r>
            <w:r>
              <w:rPr>
                <w:rFonts w:hint="eastAsia" w:ascii="宋体" w:hAnsi="宋体" w:cs="宋体"/>
                <w:color w:val="000000" w:themeColor="text1"/>
                <w:szCs w:val="21"/>
                <w:vertAlign w:val="superscript"/>
              </w:rPr>
              <w:t>3</w:t>
            </w:r>
            <w:r>
              <w:rPr>
                <w:rFonts w:hint="eastAsia" w:ascii="宋体" w:hAnsi="宋体" w:cs="宋体"/>
                <w:color w:val="000000" w:themeColor="text1"/>
                <w:szCs w:val="21"/>
              </w:rPr>
              <w:t>～50m</w:t>
            </w:r>
            <w:r>
              <w:rPr>
                <w:rFonts w:hint="eastAsia" w:ascii="宋体" w:hAnsi="宋体" w:cs="宋体"/>
                <w:color w:val="000000" w:themeColor="text1"/>
                <w:szCs w:val="21"/>
                <w:vertAlign w:val="superscript"/>
              </w:rPr>
              <w:t>3</w:t>
            </w:r>
          </w:p>
        </w:tc>
        <w:tc>
          <w:tcPr>
            <w:tcW w:w="1405"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⑴气体＜100m</w:t>
            </w:r>
            <w:r>
              <w:rPr>
                <w:rFonts w:hint="eastAsia" w:ascii="宋体" w:hAnsi="宋体" w:cs="宋体"/>
                <w:color w:val="000000" w:themeColor="text1"/>
                <w:szCs w:val="21"/>
                <w:vertAlign w:val="superscript"/>
              </w:rPr>
              <w:t>3</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⑵液体＜10m</w:t>
            </w:r>
            <w:r>
              <w:rPr>
                <w:rFonts w:hint="eastAsia" w:ascii="宋体" w:hAnsi="宋体" w:cs="宋体"/>
                <w:color w:val="000000" w:themeColor="text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jc w:val="center"/>
        </w:trPr>
        <w:tc>
          <w:tcPr>
            <w:tcW w:w="1440"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温度</w:t>
            </w:r>
          </w:p>
        </w:tc>
        <w:tc>
          <w:tcPr>
            <w:tcW w:w="1951"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1000℃以上使用，其操作温度在燃点以上。</w:t>
            </w:r>
          </w:p>
        </w:tc>
        <w:tc>
          <w:tcPr>
            <w:tcW w:w="1885"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⑴1000℃以上使用,但操作温度在燃点以下；</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⑵在250℃～1000℃使用,其操作温度在燃点以上。</w:t>
            </w:r>
          </w:p>
        </w:tc>
        <w:tc>
          <w:tcPr>
            <w:tcW w:w="2205"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⑴在250℃～1000℃使用，但操作温度在燃点以下；</w:t>
            </w:r>
            <w:r>
              <w:rPr>
                <w:rFonts w:hint="eastAsia" w:ascii="宋体" w:hAnsi="宋体" w:cs="宋体"/>
                <w:color w:val="000000" w:themeColor="text1"/>
                <w:szCs w:val="21"/>
              </w:rPr>
              <w:cr/>
            </w:r>
            <w:r>
              <w:rPr>
                <w:rFonts w:hint="eastAsia" w:ascii="宋体" w:hAnsi="宋体" w:cs="宋体"/>
                <w:color w:val="000000" w:themeColor="text1"/>
                <w:szCs w:val="21"/>
              </w:rPr>
              <w:t>⑵在低于250℃时使用，操作温度在燃点以上。</w:t>
            </w:r>
          </w:p>
        </w:tc>
        <w:tc>
          <w:tcPr>
            <w:tcW w:w="1405"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在低于250℃时使用，操作温度在燃点以下。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440"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压力</w:t>
            </w:r>
          </w:p>
        </w:tc>
        <w:tc>
          <w:tcPr>
            <w:tcW w:w="1951"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100MPa</w:t>
            </w:r>
          </w:p>
        </w:tc>
        <w:tc>
          <w:tcPr>
            <w:tcW w:w="1885"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20MPa～100MPa</w:t>
            </w:r>
          </w:p>
        </w:tc>
        <w:tc>
          <w:tcPr>
            <w:tcW w:w="2205"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1MPa～20MPa</w:t>
            </w:r>
          </w:p>
        </w:tc>
        <w:tc>
          <w:tcPr>
            <w:tcW w:w="1405"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1MPa以下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440" w:type="dxa"/>
            <w:vAlign w:val="center"/>
          </w:tcPr>
          <w:p>
            <w:pPr>
              <w:spacing w:line="280" w:lineRule="exact"/>
              <w:jc w:val="center"/>
              <w:rPr>
                <w:rFonts w:ascii="宋体" w:hAnsi="宋体" w:cs="宋体"/>
                <w:color w:val="000000" w:themeColor="text1"/>
                <w:szCs w:val="21"/>
              </w:rPr>
            </w:pPr>
            <w:r>
              <w:rPr>
                <w:rFonts w:hint="eastAsia" w:ascii="宋体" w:hAnsi="宋体" w:cs="宋体"/>
                <w:color w:val="000000" w:themeColor="text1"/>
                <w:szCs w:val="21"/>
              </w:rPr>
              <w:t>操作</w:t>
            </w:r>
          </w:p>
        </w:tc>
        <w:tc>
          <w:tcPr>
            <w:tcW w:w="1951" w:type="dxa"/>
          </w:tcPr>
          <w:p>
            <w:pPr>
              <w:spacing w:line="280" w:lineRule="exact"/>
              <w:rPr>
                <w:rFonts w:ascii="宋体" w:hAnsi="宋体" w:cs="宋体"/>
                <w:color w:val="000000" w:themeColor="text1"/>
                <w:szCs w:val="21"/>
              </w:rPr>
            </w:pPr>
          </w:p>
          <w:p>
            <w:pPr>
              <w:spacing w:line="280" w:lineRule="exact"/>
              <w:rPr>
                <w:rFonts w:ascii="宋体" w:hAnsi="宋体" w:cs="宋体"/>
                <w:color w:val="000000" w:themeColor="text1"/>
                <w:szCs w:val="21"/>
              </w:rPr>
            </w:pPr>
          </w:p>
          <w:p>
            <w:pPr>
              <w:spacing w:line="280" w:lineRule="exact"/>
              <w:rPr>
                <w:rFonts w:ascii="宋体" w:hAnsi="宋体" w:cs="宋体"/>
                <w:color w:val="000000" w:themeColor="text1"/>
                <w:szCs w:val="21"/>
              </w:rPr>
            </w:pPr>
          </w:p>
          <w:p>
            <w:pPr>
              <w:spacing w:line="280" w:lineRule="exact"/>
              <w:rPr>
                <w:rFonts w:ascii="宋体" w:hAnsi="宋体" w:cs="宋体"/>
                <w:color w:val="000000" w:themeColor="text1"/>
                <w:szCs w:val="21"/>
              </w:rPr>
            </w:pPr>
            <w:r>
              <w:rPr>
                <w:rFonts w:hint="eastAsia" w:ascii="宋体" w:hAnsi="宋体" w:cs="宋体"/>
                <w:color w:val="000000" w:themeColor="text1"/>
                <w:szCs w:val="21"/>
              </w:rPr>
              <w:t>⑴临界放热和特别剧烈的放热反应操作；</w:t>
            </w:r>
            <w:r>
              <w:rPr>
                <w:rFonts w:hint="eastAsia" w:ascii="宋体" w:hAnsi="宋体" w:cs="宋体"/>
                <w:color w:val="000000" w:themeColor="text1"/>
                <w:szCs w:val="21"/>
              </w:rPr>
              <w:cr/>
            </w:r>
            <w:r>
              <w:rPr>
                <w:rFonts w:hint="eastAsia" w:ascii="宋体" w:hAnsi="宋体" w:cs="宋体"/>
                <w:color w:val="000000" w:themeColor="text1"/>
                <w:szCs w:val="21"/>
              </w:rPr>
              <w:t>⑵在爆炸极限范围内或其附近的操作。</w:t>
            </w:r>
          </w:p>
        </w:tc>
        <w:tc>
          <w:tcPr>
            <w:tcW w:w="1885" w:type="dxa"/>
          </w:tcPr>
          <w:p>
            <w:pPr>
              <w:spacing w:line="280" w:lineRule="exact"/>
              <w:rPr>
                <w:rFonts w:ascii="宋体" w:hAnsi="宋体" w:cs="宋体"/>
                <w:color w:val="000000" w:themeColor="text1"/>
                <w:szCs w:val="21"/>
              </w:rPr>
            </w:pPr>
            <w:r>
              <w:rPr>
                <w:rFonts w:hint="eastAsia" w:ascii="宋体" w:hAnsi="宋体" w:cs="宋体"/>
                <w:color w:val="000000" w:themeColor="text1"/>
                <w:szCs w:val="21"/>
              </w:rPr>
              <w:t>⑴中等放热反应</w:t>
            </w:r>
            <w:r>
              <w:rPr>
                <w:rFonts w:hint="eastAsia" w:ascii="宋体" w:hAnsi="宋体" w:cs="宋体"/>
                <w:color w:val="000000" w:themeColor="text1"/>
                <w:szCs w:val="21"/>
              </w:rPr>
              <w:cr/>
            </w:r>
            <w:r>
              <w:rPr>
                <w:rFonts w:hint="eastAsia" w:ascii="宋体" w:hAnsi="宋体" w:cs="宋体"/>
                <w:color w:val="000000" w:themeColor="text1"/>
                <w:szCs w:val="21"/>
              </w:rPr>
              <w:t>(如硝基化、酯化、加成、氧化、聚合、缩合等反应操作)；</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⑵系统进入空气或不纯物质，可能发生的危险、操作；</w:t>
            </w:r>
            <w:r>
              <w:rPr>
                <w:rFonts w:hint="eastAsia" w:ascii="宋体" w:hAnsi="宋体" w:cs="宋体"/>
                <w:color w:val="000000" w:themeColor="text1"/>
                <w:szCs w:val="21"/>
              </w:rPr>
              <w:cr/>
            </w:r>
            <w:r>
              <w:rPr>
                <w:rFonts w:hint="eastAsia" w:ascii="宋体" w:hAnsi="宋体" w:cs="宋体"/>
                <w:color w:val="000000" w:themeColor="text1"/>
                <w:szCs w:val="21"/>
              </w:rPr>
              <w:t>⑶使用粉状或雾状物质，有可能发生粉尘爆炸的操作；</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⑷单批式操作。</w:t>
            </w:r>
          </w:p>
        </w:tc>
        <w:tc>
          <w:tcPr>
            <w:tcW w:w="2205" w:type="dxa"/>
          </w:tcPr>
          <w:p>
            <w:pPr>
              <w:spacing w:line="280" w:lineRule="exact"/>
              <w:rPr>
                <w:rFonts w:ascii="宋体" w:hAnsi="宋体" w:cs="宋体"/>
                <w:color w:val="000000" w:themeColor="text1"/>
                <w:szCs w:val="21"/>
              </w:rPr>
            </w:pPr>
            <w:r>
              <w:rPr>
                <w:rFonts w:hint="eastAsia" w:ascii="宋体" w:hAnsi="宋体" w:cs="宋体"/>
                <w:color w:val="000000" w:themeColor="text1"/>
                <w:szCs w:val="21"/>
              </w:rPr>
              <w:t>⑴轻微放热反应</w:t>
            </w:r>
            <w:r>
              <w:rPr>
                <w:rFonts w:hint="eastAsia" w:ascii="宋体" w:hAnsi="宋体" w:cs="宋体"/>
                <w:color w:val="000000" w:themeColor="text1"/>
                <w:szCs w:val="21"/>
              </w:rPr>
              <w:cr/>
            </w:r>
            <w:r>
              <w:rPr>
                <w:rFonts w:hint="eastAsia" w:ascii="宋体" w:hAnsi="宋体" w:cs="宋体"/>
                <w:color w:val="000000" w:themeColor="text1"/>
                <w:szCs w:val="21"/>
              </w:rPr>
              <w:t>(如加氢、水合、异构化、烷基化、磺化、中和等反应)操作；</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⑵在精制过程中伴有化学反应；</w:t>
            </w:r>
            <w:r>
              <w:rPr>
                <w:rFonts w:hint="eastAsia" w:ascii="宋体" w:hAnsi="宋体" w:cs="宋体"/>
                <w:color w:val="000000" w:themeColor="text1"/>
                <w:szCs w:val="21"/>
              </w:rPr>
              <w:cr/>
            </w:r>
            <w:r>
              <w:rPr>
                <w:rFonts w:hint="eastAsia" w:ascii="宋体" w:hAnsi="宋体" w:cs="宋体"/>
                <w:color w:val="000000" w:themeColor="text1"/>
                <w:szCs w:val="21"/>
              </w:rPr>
              <w:t>⑶单批式操作，但开始使用机械等手段进行程序操作；</w:t>
            </w:r>
          </w:p>
          <w:p>
            <w:pPr>
              <w:spacing w:line="280" w:lineRule="exact"/>
              <w:rPr>
                <w:rFonts w:ascii="宋体" w:hAnsi="宋体" w:cs="宋体"/>
                <w:color w:val="000000" w:themeColor="text1"/>
                <w:szCs w:val="21"/>
              </w:rPr>
            </w:pPr>
            <w:r>
              <w:rPr>
                <w:rFonts w:hint="eastAsia" w:ascii="宋体" w:hAnsi="宋体" w:cs="宋体"/>
                <w:color w:val="000000" w:themeColor="text1"/>
                <w:szCs w:val="21"/>
              </w:rPr>
              <w:t>⑷有一定危险的操作。</w:t>
            </w:r>
          </w:p>
        </w:tc>
        <w:tc>
          <w:tcPr>
            <w:tcW w:w="1405" w:type="dxa"/>
            <w:vAlign w:val="center"/>
          </w:tcPr>
          <w:p>
            <w:pPr>
              <w:spacing w:line="280" w:lineRule="exact"/>
              <w:rPr>
                <w:rFonts w:ascii="宋体" w:hAnsi="宋体" w:cs="宋体"/>
                <w:color w:val="000000" w:themeColor="text1"/>
                <w:szCs w:val="21"/>
              </w:rPr>
            </w:pPr>
            <w:r>
              <w:rPr>
                <w:rFonts w:hint="eastAsia" w:ascii="宋体" w:hAnsi="宋体" w:cs="宋体"/>
                <w:color w:val="000000" w:themeColor="text1"/>
                <w:szCs w:val="21"/>
              </w:rPr>
              <w:t>无危险的操作。</w:t>
            </w:r>
          </w:p>
        </w:tc>
      </w:tr>
    </w:tbl>
    <w:p>
      <w:pPr>
        <w:rPr>
          <w:rFonts w:eastAsiaTheme="minorEastAsia"/>
          <w:bCs/>
          <w:color w:val="000000" w:themeColor="text1"/>
          <w:sz w:val="24"/>
        </w:rPr>
      </w:pPr>
      <w:r>
        <w:rPr>
          <w:rFonts w:eastAsiaTheme="minorEastAsia"/>
          <w:color w:val="000000" w:themeColor="text1"/>
        </w:rPr>
        <w:t>注：*1.见《石油化工企业设计防火标准(2018年版)》（GB 50160-2008）中可燃物质的火灾危险性分类；*2.见《压力容器中化学介质毒性危害和爆炸危险程度分类标准》（HG/T 20660-2017）表1、表2、表3；*3.①有触媒的反应，应去掉触媒层所占空间；②气液混合反应，应按其反应的形态选择上述规定。</w:t>
      </w:r>
    </w:p>
    <w:p>
      <w:pPr>
        <w:adjustRightInd w:val="0"/>
        <w:snapToGrid w:val="0"/>
        <w:spacing w:line="500" w:lineRule="atLeast"/>
        <w:jc w:val="center"/>
        <w:rPr>
          <w:rFonts w:eastAsiaTheme="minorEastAsia"/>
          <w:bCs/>
          <w:color w:val="000000" w:themeColor="text1"/>
          <w:sz w:val="24"/>
        </w:rPr>
      </w:pPr>
      <w:r>
        <w:rPr>
          <w:rFonts w:eastAsiaTheme="minorEastAsia"/>
          <w:bCs/>
          <w:color w:val="000000" w:themeColor="text1"/>
          <w:sz w:val="24"/>
        </w:rPr>
        <w:t>表4-10</w:t>
      </w:r>
      <w:r>
        <w:rPr>
          <w:rFonts w:eastAsiaTheme="minorEastAsia"/>
          <w:color w:val="000000" w:themeColor="text1"/>
          <w:sz w:val="24"/>
        </w:rPr>
        <w:t>危险度分级表</w:t>
      </w:r>
    </w:p>
    <w:tbl>
      <w:tblPr>
        <w:tblStyle w:val="52"/>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1753"/>
        <w:gridCol w:w="1935"/>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2032"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总分值</w:t>
            </w:r>
          </w:p>
        </w:tc>
        <w:tc>
          <w:tcPr>
            <w:tcW w:w="1753"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≥16</w:t>
            </w:r>
          </w:p>
        </w:tc>
        <w:tc>
          <w:tcPr>
            <w:tcW w:w="1935" w:type="dxa"/>
            <w:vAlign w:val="center"/>
          </w:tcPr>
          <w:p>
            <w:pPr>
              <w:spacing w:line="240" w:lineRule="exact"/>
              <w:ind w:firstLine="420" w:firstLineChars="200"/>
              <w:jc w:val="center"/>
              <w:rPr>
                <w:rFonts w:eastAsiaTheme="minorEastAsia"/>
                <w:color w:val="000000" w:themeColor="text1"/>
                <w:szCs w:val="21"/>
              </w:rPr>
            </w:pPr>
            <w:r>
              <w:rPr>
                <w:rFonts w:eastAsiaTheme="minorEastAsia"/>
                <w:color w:val="000000" w:themeColor="text1"/>
                <w:szCs w:val="21"/>
              </w:rPr>
              <w:t>11～15</w:t>
            </w:r>
          </w:p>
        </w:tc>
        <w:tc>
          <w:tcPr>
            <w:tcW w:w="23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2032"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等级</w:t>
            </w:r>
          </w:p>
        </w:tc>
        <w:tc>
          <w:tcPr>
            <w:tcW w:w="1753"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Ⅰ</w:t>
            </w:r>
          </w:p>
        </w:tc>
        <w:tc>
          <w:tcPr>
            <w:tcW w:w="193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Ⅱ</w:t>
            </w:r>
          </w:p>
        </w:tc>
        <w:tc>
          <w:tcPr>
            <w:tcW w:w="23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032"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危险程度</w:t>
            </w:r>
          </w:p>
        </w:tc>
        <w:tc>
          <w:tcPr>
            <w:tcW w:w="1753"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高度危险</w:t>
            </w:r>
          </w:p>
        </w:tc>
        <w:tc>
          <w:tcPr>
            <w:tcW w:w="193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中度危险</w:t>
            </w:r>
          </w:p>
        </w:tc>
        <w:tc>
          <w:tcPr>
            <w:tcW w:w="23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低度危险</w:t>
            </w:r>
          </w:p>
        </w:tc>
      </w:tr>
      <w:bookmarkEnd w:id="1561"/>
      <w:bookmarkEnd w:id="1562"/>
    </w:tbl>
    <w:p>
      <w:pPr>
        <w:keepNext/>
        <w:keepLines/>
        <w:pageBreakBefore/>
        <w:spacing w:before="340" w:after="330" w:line="500" w:lineRule="exact"/>
        <w:jc w:val="center"/>
        <w:outlineLvl w:val="0"/>
        <w:rPr>
          <w:rFonts w:ascii="楷体_GB2312" w:hAnsi="宋体" w:eastAsia="楷体_GB2312"/>
          <w:b/>
          <w:bCs/>
          <w:color w:val="000000" w:themeColor="text1"/>
          <w:kern w:val="3"/>
          <w:sz w:val="32"/>
          <w:szCs w:val="32"/>
        </w:rPr>
      </w:pPr>
      <w:bookmarkStart w:id="1631" w:name="_Toc18751"/>
      <w:bookmarkStart w:id="1632" w:name="_Toc20320"/>
      <w:bookmarkStart w:id="1633" w:name="_Toc9302"/>
      <w:bookmarkStart w:id="1634" w:name="_Toc2936"/>
      <w:bookmarkStart w:id="1635" w:name="_Toc17969"/>
      <w:bookmarkStart w:id="1636" w:name="_Toc26571"/>
      <w:bookmarkStart w:id="1637" w:name="_Toc217444239"/>
      <w:bookmarkStart w:id="1638" w:name="_Toc7115"/>
      <w:bookmarkStart w:id="1639" w:name="_Toc27440"/>
      <w:bookmarkStart w:id="1640" w:name="_Toc24860"/>
      <w:bookmarkStart w:id="1641" w:name="_Toc15404"/>
      <w:bookmarkStart w:id="1642" w:name="_Toc6326"/>
      <w:bookmarkStart w:id="1643" w:name="_Toc1013"/>
      <w:bookmarkStart w:id="1644" w:name="_Toc5164"/>
      <w:bookmarkStart w:id="1645" w:name="_Toc7664"/>
      <w:bookmarkStart w:id="1646" w:name="_Toc26513"/>
      <w:bookmarkStart w:id="1647" w:name="_Toc16306"/>
      <w:bookmarkStart w:id="1648" w:name="_Toc6099_WPSOffice_Level1"/>
      <w:r>
        <w:rPr>
          <w:rFonts w:hint="eastAsia" w:ascii="楷体_GB2312" w:hAnsi="宋体" w:eastAsia="楷体_GB2312"/>
          <w:b/>
          <w:bCs/>
          <w:color w:val="000000" w:themeColor="text1"/>
          <w:kern w:val="3"/>
          <w:sz w:val="32"/>
          <w:szCs w:val="32"/>
        </w:rPr>
        <w:t>第5章 定性、定量分析</w:t>
      </w:r>
      <w:bookmarkEnd w:id="1631"/>
      <w:r>
        <w:rPr>
          <w:rFonts w:hint="eastAsia" w:ascii="楷体_GB2312" w:hAnsi="宋体" w:eastAsia="楷体_GB2312"/>
          <w:b/>
          <w:bCs/>
          <w:color w:val="000000" w:themeColor="text1"/>
          <w:kern w:val="3"/>
          <w:sz w:val="32"/>
          <w:szCs w:val="32"/>
        </w:rPr>
        <w:t>评价</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Start w:id="1649" w:name="_Toc345765788"/>
      <w:bookmarkStart w:id="1650" w:name="_Toc286493611"/>
    </w:p>
    <w:p>
      <w:pPr>
        <w:pStyle w:val="19"/>
        <w:spacing w:afterLines="100" w:line="500" w:lineRule="exact"/>
        <w:jc w:val="center"/>
        <w:rPr>
          <w:rFonts w:ascii="楷体_GB2312" w:hAnsi="宋体" w:eastAsia="楷体_GB2312"/>
          <w:color w:val="000000" w:themeColor="text1"/>
          <w:kern w:val="3"/>
        </w:rPr>
      </w:pPr>
      <w:bookmarkStart w:id="1651" w:name="_Toc30129"/>
      <w:bookmarkStart w:id="1652" w:name="_Toc5295"/>
      <w:bookmarkStart w:id="1653" w:name="_Toc17558"/>
      <w:bookmarkStart w:id="1654" w:name="_Toc18696"/>
      <w:bookmarkStart w:id="1655" w:name="_Toc27936"/>
      <w:bookmarkStart w:id="1656" w:name="_Toc259560049"/>
      <w:bookmarkStart w:id="1657" w:name="_Toc12289"/>
      <w:bookmarkStart w:id="1658" w:name="_Toc26690"/>
      <w:bookmarkStart w:id="1659" w:name="_Toc32724"/>
      <w:bookmarkStart w:id="1660" w:name="_Toc14064"/>
      <w:bookmarkStart w:id="1661" w:name="_Toc32090"/>
      <w:bookmarkStart w:id="1662" w:name="_Toc25486"/>
      <w:bookmarkStart w:id="1663" w:name="_Toc20210"/>
      <w:bookmarkStart w:id="1664" w:name="_Toc21890_WPSOffice_Level2"/>
      <w:bookmarkStart w:id="1665" w:name="_Toc27710"/>
      <w:bookmarkStart w:id="1666" w:name="_Toc23629"/>
      <w:bookmarkStart w:id="1667" w:name="_Toc638"/>
      <w:r>
        <w:rPr>
          <w:rFonts w:hint="eastAsia" w:ascii="楷体_GB2312" w:hAnsi="宋体" w:eastAsia="楷体_GB2312"/>
          <w:color w:val="000000" w:themeColor="text1"/>
          <w:kern w:val="3"/>
        </w:rPr>
        <w:t>5.1危险度评价</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pPr>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该项目运行过程中主要包括甲醇卸车、储存、分装、装车四个装置单元，本次利用危险度评价法对其进行评价，具体评价情况如下表5-1所示：</w:t>
      </w:r>
    </w:p>
    <w:p>
      <w:pPr>
        <w:spacing w:line="500" w:lineRule="exact"/>
        <w:ind w:firstLine="480" w:firstLineChars="200"/>
        <w:jc w:val="center"/>
        <w:rPr>
          <w:rFonts w:eastAsiaTheme="minorEastAsia"/>
          <w:color w:val="000000" w:themeColor="text1"/>
          <w:sz w:val="24"/>
        </w:rPr>
      </w:pPr>
      <w:r>
        <w:rPr>
          <w:rFonts w:eastAsiaTheme="minorEastAsia"/>
          <w:color w:val="000000" w:themeColor="text1"/>
          <w:sz w:val="24"/>
        </w:rPr>
        <w:t>表5-1项目经营储存过程危险度评价情况表</w:t>
      </w:r>
    </w:p>
    <w:tbl>
      <w:tblPr>
        <w:tblStyle w:val="52"/>
        <w:tblW w:w="8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755"/>
        <w:gridCol w:w="1455"/>
        <w:gridCol w:w="645"/>
        <w:gridCol w:w="690"/>
        <w:gridCol w:w="705"/>
        <w:gridCol w:w="765"/>
        <w:gridCol w:w="735"/>
        <w:gridCol w:w="75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6" w:type="dxa"/>
            <w:vAlign w:val="center"/>
          </w:tcPr>
          <w:p>
            <w:pPr>
              <w:spacing w:line="240" w:lineRule="exact"/>
              <w:jc w:val="center"/>
              <w:rPr>
                <w:rFonts w:eastAsiaTheme="minorEastAsia"/>
                <w:b/>
                <w:bCs/>
                <w:color w:val="000000" w:themeColor="text1"/>
                <w:szCs w:val="21"/>
              </w:rPr>
            </w:pPr>
            <w:r>
              <w:rPr>
                <w:rFonts w:eastAsiaTheme="minorEastAsia"/>
                <w:b/>
                <w:bCs/>
                <w:color w:val="000000" w:themeColor="text1"/>
                <w:szCs w:val="21"/>
              </w:rPr>
              <w:t>序号</w:t>
            </w:r>
          </w:p>
        </w:tc>
        <w:tc>
          <w:tcPr>
            <w:tcW w:w="755" w:type="dxa"/>
            <w:vAlign w:val="center"/>
          </w:tcPr>
          <w:p>
            <w:pPr>
              <w:spacing w:line="240" w:lineRule="exact"/>
              <w:jc w:val="center"/>
              <w:rPr>
                <w:rFonts w:eastAsiaTheme="minorEastAsia"/>
                <w:b/>
                <w:bCs/>
                <w:color w:val="000000" w:themeColor="text1"/>
                <w:szCs w:val="21"/>
              </w:rPr>
            </w:pPr>
            <w:r>
              <w:rPr>
                <w:rFonts w:eastAsiaTheme="minorEastAsia"/>
                <w:b/>
                <w:bCs/>
                <w:color w:val="000000" w:themeColor="text1"/>
                <w:szCs w:val="21"/>
              </w:rPr>
              <w:t>装置单元</w:t>
            </w:r>
          </w:p>
        </w:tc>
        <w:tc>
          <w:tcPr>
            <w:tcW w:w="1455" w:type="dxa"/>
            <w:vAlign w:val="center"/>
          </w:tcPr>
          <w:p>
            <w:pPr>
              <w:pStyle w:val="37"/>
              <w:pBdr>
                <w:bottom w:val="none" w:color="auto" w:sz="0" w:space="0"/>
              </w:pBdr>
              <w:tabs>
                <w:tab w:val="clear" w:pos="4153"/>
                <w:tab w:val="clear" w:pos="8306"/>
              </w:tabs>
              <w:snapToGrid/>
              <w:rPr>
                <w:rFonts w:eastAsiaTheme="minorEastAsia"/>
                <w:b/>
                <w:bCs/>
                <w:color w:val="000000" w:themeColor="text1"/>
                <w:position w:val="-30"/>
                <w:sz w:val="21"/>
                <w:szCs w:val="21"/>
              </w:rPr>
            </w:pPr>
            <w:r>
              <w:rPr>
                <w:rFonts w:eastAsiaTheme="minorEastAsia"/>
                <w:b/>
                <w:bCs/>
                <w:color w:val="000000" w:themeColor="text1"/>
                <w:position w:val="-30"/>
                <w:sz w:val="21"/>
                <w:szCs w:val="21"/>
              </w:rPr>
              <w:t>危险物质</w:t>
            </w:r>
          </w:p>
        </w:tc>
        <w:tc>
          <w:tcPr>
            <w:tcW w:w="645" w:type="dxa"/>
            <w:vAlign w:val="center"/>
          </w:tcPr>
          <w:p>
            <w:pPr>
              <w:jc w:val="center"/>
              <w:rPr>
                <w:rFonts w:eastAsiaTheme="minorEastAsia"/>
                <w:b/>
                <w:bCs/>
                <w:color w:val="000000" w:themeColor="text1"/>
                <w:szCs w:val="21"/>
              </w:rPr>
            </w:pPr>
            <w:r>
              <w:rPr>
                <w:rFonts w:eastAsiaTheme="minorEastAsia"/>
                <w:b/>
                <w:bCs/>
                <w:color w:val="000000" w:themeColor="text1"/>
                <w:szCs w:val="21"/>
              </w:rPr>
              <w:t>物质</w:t>
            </w:r>
          </w:p>
          <w:p>
            <w:pPr>
              <w:pStyle w:val="37"/>
              <w:pBdr>
                <w:bottom w:val="none" w:color="auto" w:sz="0" w:space="0"/>
              </w:pBdr>
              <w:tabs>
                <w:tab w:val="clear" w:pos="4153"/>
                <w:tab w:val="clear" w:pos="8306"/>
              </w:tabs>
              <w:snapToGrid/>
              <w:rPr>
                <w:rFonts w:eastAsiaTheme="minorEastAsia"/>
                <w:b/>
                <w:bCs/>
                <w:color w:val="000000" w:themeColor="text1"/>
                <w:sz w:val="21"/>
                <w:szCs w:val="21"/>
              </w:rPr>
            </w:pPr>
            <w:r>
              <w:rPr>
                <w:rFonts w:eastAsiaTheme="minorEastAsia"/>
                <w:b/>
                <w:bCs/>
                <w:color w:val="000000" w:themeColor="text1"/>
                <w:sz w:val="21"/>
                <w:szCs w:val="21"/>
              </w:rPr>
              <w:t>评分</w:t>
            </w:r>
          </w:p>
        </w:tc>
        <w:tc>
          <w:tcPr>
            <w:tcW w:w="690" w:type="dxa"/>
            <w:vAlign w:val="center"/>
          </w:tcPr>
          <w:p>
            <w:pPr>
              <w:jc w:val="center"/>
              <w:rPr>
                <w:rFonts w:eastAsiaTheme="minorEastAsia"/>
                <w:b/>
                <w:bCs/>
                <w:color w:val="000000" w:themeColor="text1"/>
                <w:szCs w:val="21"/>
              </w:rPr>
            </w:pPr>
            <w:r>
              <w:rPr>
                <w:rFonts w:eastAsiaTheme="minorEastAsia"/>
                <w:b/>
                <w:bCs/>
                <w:color w:val="000000" w:themeColor="text1"/>
                <w:szCs w:val="21"/>
              </w:rPr>
              <w:t>容量</w:t>
            </w:r>
          </w:p>
          <w:p>
            <w:pPr>
              <w:jc w:val="center"/>
              <w:rPr>
                <w:rFonts w:eastAsiaTheme="minorEastAsia"/>
                <w:b/>
                <w:bCs/>
                <w:color w:val="000000" w:themeColor="text1"/>
                <w:szCs w:val="21"/>
              </w:rPr>
            </w:pPr>
            <w:r>
              <w:rPr>
                <w:rFonts w:eastAsiaTheme="minorEastAsia"/>
                <w:b/>
                <w:bCs/>
                <w:color w:val="000000" w:themeColor="text1"/>
                <w:szCs w:val="21"/>
              </w:rPr>
              <w:t>评分</w:t>
            </w:r>
          </w:p>
        </w:tc>
        <w:tc>
          <w:tcPr>
            <w:tcW w:w="705" w:type="dxa"/>
            <w:vAlign w:val="center"/>
          </w:tcPr>
          <w:p>
            <w:pPr>
              <w:pStyle w:val="37"/>
              <w:pBdr>
                <w:bottom w:val="none" w:color="auto" w:sz="0" w:space="0"/>
              </w:pBdr>
              <w:tabs>
                <w:tab w:val="clear" w:pos="4153"/>
                <w:tab w:val="clear" w:pos="8306"/>
              </w:tabs>
              <w:snapToGrid/>
              <w:rPr>
                <w:rFonts w:eastAsiaTheme="minorEastAsia"/>
                <w:b/>
                <w:bCs/>
                <w:color w:val="000000" w:themeColor="text1"/>
                <w:sz w:val="21"/>
                <w:szCs w:val="21"/>
              </w:rPr>
            </w:pPr>
            <w:r>
              <w:rPr>
                <w:rFonts w:eastAsiaTheme="minorEastAsia"/>
                <w:b/>
                <w:bCs/>
                <w:color w:val="000000" w:themeColor="text1"/>
                <w:sz w:val="21"/>
                <w:szCs w:val="21"/>
              </w:rPr>
              <w:t>温度</w:t>
            </w:r>
          </w:p>
          <w:p>
            <w:pPr>
              <w:pStyle w:val="37"/>
              <w:pBdr>
                <w:bottom w:val="none" w:color="auto" w:sz="0" w:space="0"/>
              </w:pBdr>
              <w:tabs>
                <w:tab w:val="clear" w:pos="4153"/>
                <w:tab w:val="clear" w:pos="8306"/>
              </w:tabs>
              <w:snapToGrid/>
              <w:rPr>
                <w:rFonts w:eastAsiaTheme="minorEastAsia"/>
                <w:b/>
                <w:bCs/>
                <w:color w:val="000000" w:themeColor="text1"/>
                <w:sz w:val="21"/>
                <w:szCs w:val="21"/>
              </w:rPr>
            </w:pPr>
            <w:r>
              <w:rPr>
                <w:rFonts w:eastAsiaTheme="minorEastAsia"/>
                <w:b/>
                <w:bCs/>
                <w:color w:val="000000" w:themeColor="text1"/>
                <w:sz w:val="21"/>
                <w:szCs w:val="21"/>
              </w:rPr>
              <w:t>评分</w:t>
            </w:r>
          </w:p>
        </w:tc>
        <w:tc>
          <w:tcPr>
            <w:tcW w:w="765" w:type="dxa"/>
            <w:vAlign w:val="center"/>
          </w:tcPr>
          <w:p>
            <w:pPr>
              <w:jc w:val="center"/>
              <w:rPr>
                <w:rFonts w:eastAsiaTheme="minorEastAsia"/>
                <w:b/>
                <w:bCs/>
                <w:color w:val="000000" w:themeColor="text1"/>
                <w:szCs w:val="21"/>
              </w:rPr>
            </w:pPr>
            <w:r>
              <w:rPr>
                <w:rFonts w:eastAsiaTheme="minorEastAsia"/>
                <w:b/>
                <w:bCs/>
                <w:color w:val="000000" w:themeColor="text1"/>
                <w:szCs w:val="21"/>
              </w:rPr>
              <w:t>压力</w:t>
            </w:r>
          </w:p>
          <w:p>
            <w:pPr>
              <w:pStyle w:val="37"/>
              <w:pBdr>
                <w:bottom w:val="none" w:color="auto" w:sz="0" w:space="0"/>
              </w:pBdr>
              <w:tabs>
                <w:tab w:val="clear" w:pos="4153"/>
                <w:tab w:val="clear" w:pos="8306"/>
              </w:tabs>
              <w:snapToGrid/>
              <w:rPr>
                <w:rFonts w:eastAsiaTheme="minorEastAsia"/>
                <w:b/>
                <w:bCs/>
                <w:color w:val="000000" w:themeColor="text1"/>
                <w:sz w:val="21"/>
                <w:szCs w:val="21"/>
              </w:rPr>
            </w:pPr>
            <w:r>
              <w:rPr>
                <w:rFonts w:eastAsiaTheme="minorEastAsia"/>
                <w:b/>
                <w:bCs/>
                <w:color w:val="000000" w:themeColor="text1"/>
                <w:sz w:val="21"/>
                <w:szCs w:val="21"/>
              </w:rPr>
              <w:t>评分</w:t>
            </w:r>
          </w:p>
        </w:tc>
        <w:tc>
          <w:tcPr>
            <w:tcW w:w="735" w:type="dxa"/>
            <w:vAlign w:val="center"/>
          </w:tcPr>
          <w:p>
            <w:pPr>
              <w:jc w:val="center"/>
              <w:rPr>
                <w:rFonts w:eastAsiaTheme="minorEastAsia"/>
                <w:b/>
                <w:bCs/>
                <w:color w:val="000000" w:themeColor="text1"/>
                <w:szCs w:val="21"/>
              </w:rPr>
            </w:pPr>
            <w:r>
              <w:rPr>
                <w:rFonts w:eastAsiaTheme="minorEastAsia"/>
                <w:b/>
                <w:bCs/>
                <w:color w:val="000000" w:themeColor="text1"/>
                <w:szCs w:val="21"/>
              </w:rPr>
              <w:t>操作</w:t>
            </w:r>
          </w:p>
          <w:p>
            <w:pPr>
              <w:jc w:val="center"/>
              <w:rPr>
                <w:rFonts w:eastAsiaTheme="minorEastAsia"/>
                <w:b/>
                <w:bCs/>
                <w:color w:val="000000" w:themeColor="text1"/>
                <w:szCs w:val="21"/>
              </w:rPr>
            </w:pPr>
            <w:r>
              <w:rPr>
                <w:rFonts w:eastAsiaTheme="minorEastAsia"/>
                <w:b/>
                <w:bCs/>
                <w:color w:val="000000" w:themeColor="text1"/>
                <w:szCs w:val="21"/>
              </w:rPr>
              <w:t>评分</w:t>
            </w:r>
          </w:p>
        </w:tc>
        <w:tc>
          <w:tcPr>
            <w:tcW w:w="750" w:type="dxa"/>
            <w:vAlign w:val="center"/>
          </w:tcPr>
          <w:p>
            <w:pPr>
              <w:pStyle w:val="37"/>
              <w:pBdr>
                <w:bottom w:val="none" w:color="auto" w:sz="0" w:space="0"/>
              </w:pBdr>
              <w:tabs>
                <w:tab w:val="clear" w:pos="4153"/>
                <w:tab w:val="clear" w:pos="8306"/>
              </w:tabs>
              <w:snapToGrid/>
              <w:rPr>
                <w:rFonts w:eastAsiaTheme="minorEastAsia"/>
                <w:b/>
                <w:bCs/>
                <w:color w:val="000000" w:themeColor="text1"/>
                <w:position w:val="-30"/>
                <w:sz w:val="21"/>
                <w:szCs w:val="21"/>
              </w:rPr>
            </w:pPr>
            <w:r>
              <w:rPr>
                <w:rFonts w:eastAsiaTheme="minorEastAsia"/>
                <w:b/>
                <w:bCs/>
                <w:color w:val="000000" w:themeColor="text1"/>
                <w:position w:val="-30"/>
                <w:sz w:val="21"/>
                <w:szCs w:val="21"/>
              </w:rPr>
              <w:t>总分</w:t>
            </w:r>
          </w:p>
        </w:tc>
        <w:tc>
          <w:tcPr>
            <w:tcW w:w="1155" w:type="dxa"/>
            <w:vAlign w:val="center"/>
          </w:tcPr>
          <w:p>
            <w:pPr>
              <w:jc w:val="center"/>
              <w:rPr>
                <w:rFonts w:eastAsiaTheme="minorEastAsia"/>
                <w:b/>
                <w:bCs/>
                <w:color w:val="000000" w:themeColor="text1"/>
                <w:position w:val="-30"/>
                <w:szCs w:val="21"/>
              </w:rPr>
            </w:pPr>
            <w:r>
              <w:rPr>
                <w:rFonts w:eastAsiaTheme="minorEastAsia"/>
                <w:b/>
                <w:bCs/>
                <w:color w:val="000000" w:themeColor="text1"/>
                <w:position w:val="-30"/>
                <w:szCs w:val="21"/>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606"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1</w:t>
            </w:r>
          </w:p>
        </w:tc>
        <w:tc>
          <w:tcPr>
            <w:tcW w:w="7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卸车</w:t>
            </w:r>
          </w:p>
        </w:tc>
        <w:tc>
          <w:tcPr>
            <w:tcW w:w="14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甲醇</w:t>
            </w:r>
          </w:p>
        </w:tc>
        <w:tc>
          <w:tcPr>
            <w:tcW w:w="64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10</w:t>
            </w:r>
          </w:p>
        </w:tc>
        <w:tc>
          <w:tcPr>
            <w:tcW w:w="690"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2</w:t>
            </w:r>
          </w:p>
        </w:tc>
        <w:tc>
          <w:tcPr>
            <w:tcW w:w="70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0</w:t>
            </w:r>
          </w:p>
        </w:tc>
        <w:tc>
          <w:tcPr>
            <w:tcW w:w="76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0</w:t>
            </w:r>
          </w:p>
        </w:tc>
        <w:tc>
          <w:tcPr>
            <w:tcW w:w="73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2</w:t>
            </w:r>
          </w:p>
        </w:tc>
        <w:tc>
          <w:tcPr>
            <w:tcW w:w="750"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14</w:t>
            </w:r>
          </w:p>
        </w:tc>
        <w:tc>
          <w:tcPr>
            <w:tcW w:w="11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中度危险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606"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2</w:t>
            </w:r>
          </w:p>
        </w:tc>
        <w:tc>
          <w:tcPr>
            <w:tcW w:w="7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储存</w:t>
            </w:r>
          </w:p>
        </w:tc>
        <w:tc>
          <w:tcPr>
            <w:tcW w:w="14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甲醇</w:t>
            </w:r>
          </w:p>
        </w:tc>
        <w:tc>
          <w:tcPr>
            <w:tcW w:w="64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10</w:t>
            </w:r>
          </w:p>
        </w:tc>
        <w:tc>
          <w:tcPr>
            <w:tcW w:w="690"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2</w:t>
            </w:r>
          </w:p>
        </w:tc>
        <w:tc>
          <w:tcPr>
            <w:tcW w:w="70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0</w:t>
            </w:r>
          </w:p>
        </w:tc>
        <w:tc>
          <w:tcPr>
            <w:tcW w:w="76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0</w:t>
            </w:r>
          </w:p>
        </w:tc>
        <w:tc>
          <w:tcPr>
            <w:tcW w:w="73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2</w:t>
            </w:r>
          </w:p>
        </w:tc>
        <w:tc>
          <w:tcPr>
            <w:tcW w:w="750"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14</w:t>
            </w:r>
          </w:p>
        </w:tc>
        <w:tc>
          <w:tcPr>
            <w:tcW w:w="11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中度危险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606"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3</w:t>
            </w:r>
          </w:p>
        </w:tc>
        <w:tc>
          <w:tcPr>
            <w:tcW w:w="7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分装</w:t>
            </w:r>
          </w:p>
        </w:tc>
        <w:tc>
          <w:tcPr>
            <w:tcW w:w="14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甲醇</w:t>
            </w:r>
          </w:p>
        </w:tc>
        <w:tc>
          <w:tcPr>
            <w:tcW w:w="64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10</w:t>
            </w:r>
          </w:p>
        </w:tc>
        <w:tc>
          <w:tcPr>
            <w:tcW w:w="690"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0</w:t>
            </w:r>
          </w:p>
        </w:tc>
        <w:tc>
          <w:tcPr>
            <w:tcW w:w="70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0</w:t>
            </w:r>
          </w:p>
        </w:tc>
        <w:tc>
          <w:tcPr>
            <w:tcW w:w="76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0</w:t>
            </w:r>
          </w:p>
        </w:tc>
        <w:tc>
          <w:tcPr>
            <w:tcW w:w="73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2</w:t>
            </w:r>
          </w:p>
        </w:tc>
        <w:tc>
          <w:tcPr>
            <w:tcW w:w="750"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12</w:t>
            </w:r>
          </w:p>
        </w:tc>
        <w:tc>
          <w:tcPr>
            <w:tcW w:w="11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中度危险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606"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4</w:t>
            </w:r>
          </w:p>
        </w:tc>
        <w:tc>
          <w:tcPr>
            <w:tcW w:w="7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装车</w:t>
            </w:r>
          </w:p>
        </w:tc>
        <w:tc>
          <w:tcPr>
            <w:tcW w:w="14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甲醇</w:t>
            </w:r>
          </w:p>
        </w:tc>
        <w:tc>
          <w:tcPr>
            <w:tcW w:w="64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10</w:t>
            </w:r>
          </w:p>
        </w:tc>
        <w:tc>
          <w:tcPr>
            <w:tcW w:w="690"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2</w:t>
            </w:r>
          </w:p>
        </w:tc>
        <w:tc>
          <w:tcPr>
            <w:tcW w:w="70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0</w:t>
            </w:r>
          </w:p>
        </w:tc>
        <w:tc>
          <w:tcPr>
            <w:tcW w:w="76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0</w:t>
            </w:r>
          </w:p>
        </w:tc>
        <w:tc>
          <w:tcPr>
            <w:tcW w:w="73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2</w:t>
            </w:r>
          </w:p>
        </w:tc>
        <w:tc>
          <w:tcPr>
            <w:tcW w:w="750"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14</w:t>
            </w:r>
          </w:p>
        </w:tc>
        <w:tc>
          <w:tcPr>
            <w:tcW w:w="1155"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中度危险</w:t>
            </w:r>
          </w:p>
        </w:tc>
      </w:tr>
    </w:tbl>
    <w:p>
      <w:pPr>
        <w:spacing w:line="500" w:lineRule="exact"/>
        <w:ind w:firstLine="560" w:firstLineChars="200"/>
        <w:rPr>
          <w:color w:val="000000" w:themeColor="text1"/>
          <w:sz w:val="30"/>
          <w:szCs w:val="30"/>
        </w:rPr>
      </w:pPr>
      <w:r>
        <w:rPr>
          <w:rFonts w:eastAsiaTheme="minorEastAsia"/>
          <w:color w:val="000000" w:themeColor="text1"/>
          <w:sz w:val="28"/>
          <w:szCs w:val="28"/>
        </w:rPr>
        <w:t>由上表可知，采用危险度评价法对该项目甲醇装卸、储存、分装、装车单元的危险度进行分析评价可知，该项目卸车、分装、储存及装车单元均为</w:t>
      </w:r>
      <w:r>
        <w:rPr>
          <w:rFonts w:eastAsiaTheme="minorEastAsia"/>
          <w:color w:val="000000" w:themeColor="text1"/>
          <w:sz w:val="30"/>
          <w:szCs w:val="30"/>
        </w:rPr>
        <w:t>中度危险。</w:t>
      </w:r>
    </w:p>
    <w:p>
      <w:pPr>
        <w:pStyle w:val="19"/>
        <w:spacing w:afterLines="100" w:line="500" w:lineRule="exact"/>
        <w:jc w:val="center"/>
        <w:rPr>
          <w:rFonts w:ascii="楷体_GB2312" w:hAnsi="宋体" w:eastAsia="楷体_GB2312"/>
          <w:color w:val="000000" w:themeColor="text1"/>
          <w:kern w:val="3"/>
        </w:rPr>
      </w:pPr>
      <w:bookmarkStart w:id="1668" w:name="_Toc29425"/>
      <w:bookmarkStart w:id="1669" w:name="_Toc22887"/>
      <w:bookmarkStart w:id="1670" w:name="_Toc3455"/>
      <w:bookmarkStart w:id="1671" w:name="_Toc29681"/>
      <w:bookmarkStart w:id="1672" w:name="_Toc13777"/>
      <w:bookmarkStart w:id="1673" w:name="_Toc6513"/>
      <w:bookmarkStart w:id="1674" w:name="_Toc18148_WPSOffice_Level2"/>
      <w:bookmarkStart w:id="1675" w:name="_Toc23000"/>
      <w:bookmarkStart w:id="1676" w:name="_Toc7573"/>
      <w:bookmarkStart w:id="1677" w:name="_Toc1075"/>
      <w:bookmarkStart w:id="1678" w:name="_Toc26683"/>
      <w:bookmarkStart w:id="1679" w:name="_Toc14112"/>
      <w:bookmarkStart w:id="1680" w:name="_Toc26148"/>
      <w:bookmarkStart w:id="1681" w:name="_Toc5011"/>
      <w:bookmarkStart w:id="1682" w:name="_Toc17907"/>
      <w:bookmarkStart w:id="1683" w:name="_Toc28775"/>
      <w:r>
        <w:rPr>
          <w:rFonts w:hint="eastAsia" w:ascii="楷体_GB2312" w:hAnsi="宋体" w:eastAsia="楷体_GB2312"/>
          <w:color w:val="000000" w:themeColor="text1"/>
          <w:kern w:val="3"/>
        </w:rPr>
        <w:t>5.2 LEC改进法危险性分析</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pPr>
        <w:pStyle w:val="34"/>
        <w:adjustRightInd w:val="0"/>
        <w:snapToGrid w:val="0"/>
        <w:spacing w:after="0" w:line="500" w:lineRule="exact"/>
        <w:ind w:left="0" w:leftChars="0"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本次根据该项目运行中的操作条件及作业人员进入危险环境的频次，分别对该项目甲醇卸车、分装、储存、装车环节以及供配电、给排水、检修过程涉及的各参数进行取值计算。以储存为例。通过对储存环节的工艺操作条件及危险性分析，可知该环节危险事件发生的可能性L，由于是相当可能的，因此L值取3；操作过程中逐日在工作时间内暴露，因此E值取6；根据该作业环境中产生的危害对人体的可能伤害程度，危险严重度C值取7；根据该项目实际运行情况，安全管理补偿系数M取0.32。按照以上取值计算：</w:t>
      </w:r>
      <w:r>
        <w:rPr>
          <w:rFonts w:eastAsiaTheme="minorEastAsia"/>
          <w:color w:val="000000" w:themeColor="text1"/>
          <w:sz w:val="28"/>
          <w:szCs w:val="28"/>
        </w:rPr>
        <w:t>危险性（D）＝L×E×C×M＝3×6×7×0.32＝40.32</w:t>
      </w:r>
    </w:p>
    <w:p>
      <w:pPr>
        <w:adjustRightInd w:val="0"/>
        <w:snapToGrid w:val="0"/>
        <w:spacing w:line="500" w:lineRule="atLeas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对照危险性程度分级的分数值可以得出，在储存过程中的危险性程度为高度危险。按照以上方法取值，并计算D值，列入下表5-2中所示。另根据该项目实际运行情况，考虑安全管理补偿系数，将考虑M值后的危险等级，对照相应的取值方法得到下表中的实际等级。</w:t>
      </w:r>
    </w:p>
    <w:p>
      <w:pPr>
        <w:adjustRightInd w:val="0"/>
        <w:snapToGrid w:val="0"/>
        <w:spacing w:line="500" w:lineRule="atLeast"/>
        <w:ind w:firstLine="480" w:firstLineChars="200"/>
        <w:jc w:val="center"/>
        <w:rPr>
          <w:rFonts w:eastAsiaTheme="minorEastAsia"/>
          <w:bCs/>
          <w:color w:val="000000" w:themeColor="text1"/>
          <w:sz w:val="24"/>
        </w:rPr>
      </w:pPr>
      <w:r>
        <w:rPr>
          <w:rFonts w:eastAsiaTheme="minorEastAsia"/>
          <w:bCs/>
          <w:color w:val="000000" w:themeColor="text1"/>
          <w:sz w:val="24"/>
        </w:rPr>
        <w:t>表5-2 LEC改进法评价结果表</w:t>
      </w:r>
    </w:p>
    <w:tbl>
      <w:tblPr>
        <w:tblStyle w:val="52"/>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387"/>
        <w:gridCol w:w="477"/>
        <w:gridCol w:w="384"/>
        <w:gridCol w:w="561"/>
        <w:gridCol w:w="1517"/>
        <w:gridCol w:w="691"/>
        <w:gridCol w:w="400"/>
        <w:gridCol w:w="369"/>
        <w:gridCol w:w="416"/>
        <w:gridCol w:w="757"/>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411" w:type="dxa"/>
            <w:vMerge w:val="restart"/>
            <w:tcBorders>
              <w:tl2br w:val="single" w:color="auto" w:sz="4" w:space="0"/>
            </w:tcBorders>
            <w:vAlign w:val="center"/>
          </w:tcPr>
          <w:p>
            <w:pPr>
              <w:adjustRightInd w:val="0"/>
              <w:snapToGrid w:val="0"/>
              <w:spacing w:line="240" w:lineRule="exact"/>
              <w:jc w:val="center"/>
              <w:rPr>
                <w:rFonts w:eastAsiaTheme="minorEastAsia"/>
                <w:bCs/>
                <w:color w:val="000000" w:themeColor="text1"/>
                <w:szCs w:val="21"/>
              </w:rPr>
            </w:pPr>
            <w:r>
              <w:rPr>
                <w:rFonts w:eastAsiaTheme="minorEastAsia"/>
                <w:bCs/>
                <w:color w:val="000000" w:themeColor="text1"/>
                <w:szCs w:val="21"/>
              </w:rPr>
              <w:t xml:space="preserve">    项目</w:t>
            </w:r>
          </w:p>
          <w:p>
            <w:pPr>
              <w:adjustRightInd w:val="0"/>
              <w:snapToGrid w:val="0"/>
              <w:spacing w:line="240" w:lineRule="exact"/>
              <w:jc w:val="center"/>
              <w:rPr>
                <w:rFonts w:eastAsiaTheme="minorEastAsia"/>
                <w:bCs/>
                <w:color w:val="000000" w:themeColor="text1"/>
                <w:szCs w:val="21"/>
              </w:rPr>
            </w:pPr>
          </w:p>
          <w:p>
            <w:pPr>
              <w:adjustRightInd w:val="0"/>
              <w:snapToGrid w:val="0"/>
              <w:spacing w:line="240" w:lineRule="exact"/>
              <w:rPr>
                <w:rFonts w:eastAsiaTheme="minorEastAsia"/>
                <w:bCs/>
                <w:color w:val="000000" w:themeColor="text1"/>
                <w:szCs w:val="21"/>
              </w:rPr>
            </w:pPr>
            <w:r>
              <w:rPr>
                <w:rFonts w:eastAsiaTheme="minorEastAsia"/>
                <w:bCs/>
                <w:color w:val="000000" w:themeColor="text1"/>
                <w:szCs w:val="21"/>
              </w:rPr>
              <w:t>单元</w:t>
            </w:r>
          </w:p>
        </w:tc>
        <w:tc>
          <w:tcPr>
            <w:tcW w:w="3326" w:type="dxa"/>
            <w:gridSpan w:val="5"/>
            <w:vAlign w:val="center"/>
          </w:tcPr>
          <w:p>
            <w:pPr>
              <w:adjustRightInd w:val="0"/>
              <w:snapToGrid w:val="0"/>
              <w:spacing w:line="240" w:lineRule="exact"/>
              <w:jc w:val="center"/>
              <w:rPr>
                <w:rFonts w:eastAsiaTheme="minorEastAsia"/>
                <w:bCs/>
                <w:color w:val="000000" w:themeColor="text1"/>
                <w:szCs w:val="21"/>
              </w:rPr>
            </w:pPr>
            <w:r>
              <w:rPr>
                <w:rFonts w:eastAsiaTheme="minorEastAsia"/>
                <w:bCs/>
                <w:color w:val="000000" w:themeColor="text1"/>
                <w:szCs w:val="21"/>
              </w:rPr>
              <w:t>LEC法</w:t>
            </w:r>
          </w:p>
        </w:tc>
        <w:tc>
          <w:tcPr>
            <w:tcW w:w="4123" w:type="dxa"/>
            <w:gridSpan w:val="6"/>
            <w:vAlign w:val="center"/>
          </w:tcPr>
          <w:p>
            <w:pPr>
              <w:adjustRightInd w:val="0"/>
              <w:snapToGrid w:val="0"/>
              <w:spacing w:line="240" w:lineRule="exact"/>
              <w:jc w:val="center"/>
              <w:rPr>
                <w:rFonts w:eastAsiaTheme="minorEastAsia"/>
                <w:bCs/>
                <w:color w:val="000000" w:themeColor="text1"/>
                <w:spacing w:val="-20"/>
                <w:szCs w:val="21"/>
              </w:rPr>
            </w:pPr>
            <w:r>
              <w:rPr>
                <w:rFonts w:eastAsiaTheme="minorEastAsia"/>
                <w:bCs/>
                <w:color w:val="000000" w:themeColor="text1"/>
                <w:szCs w:val="21"/>
              </w:rPr>
              <w:t>改进后的LEC法（考虑安全管理系数M后）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411" w:type="dxa"/>
            <w:vMerge w:val="continue"/>
            <w:tcBorders>
              <w:tl2br w:val="single" w:color="auto" w:sz="4" w:space="0"/>
            </w:tcBorders>
            <w:vAlign w:val="center"/>
          </w:tcPr>
          <w:p>
            <w:pPr>
              <w:adjustRightInd w:val="0"/>
              <w:snapToGrid w:val="0"/>
              <w:spacing w:line="240" w:lineRule="exact"/>
              <w:jc w:val="center"/>
              <w:rPr>
                <w:rFonts w:eastAsiaTheme="minorEastAsia"/>
                <w:bCs/>
                <w:color w:val="000000" w:themeColor="text1"/>
                <w:szCs w:val="21"/>
              </w:rPr>
            </w:pPr>
          </w:p>
        </w:tc>
        <w:tc>
          <w:tcPr>
            <w:tcW w:w="387" w:type="dxa"/>
            <w:vAlign w:val="center"/>
          </w:tcPr>
          <w:p>
            <w:pPr>
              <w:adjustRightInd w:val="0"/>
              <w:snapToGrid w:val="0"/>
              <w:spacing w:line="240" w:lineRule="exact"/>
              <w:jc w:val="center"/>
              <w:rPr>
                <w:rFonts w:eastAsiaTheme="minorEastAsia"/>
                <w:bCs/>
                <w:color w:val="000000" w:themeColor="text1"/>
                <w:szCs w:val="21"/>
              </w:rPr>
            </w:pPr>
            <w:r>
              <w:rPr>
                <w:rFonts w:eastAsiaTheme="minorEastAsia"/>
                <w:bCs/>
                <w:color w:val="000000" w:themeColor="text1"/>
                <w:szCs w:val="21"/>
              </w:rPr>
              <w:t>L</w:t>
            </w:r>
          </w:p>
        </w:tc>
        <w:tc>
          <w:tcPr>
            <w:tcW w:w="477" w:type="dxa"/>
            <w:vAlign w:val="center"/>
          </w:tcPr>
          <w:p>
            <w:pPr>
              <w:adjustRightInd w:val="0"/>
              <w:snapToGrid w:val="0"/>
              <w:spacing w:line="240" w:lineRule="exact"/>
              <w:jc w:val="center"/>
              <w:rPr>
                <w:rFonts w:eastAsiaTheme="minorEastAsia"/>
                <w:bCs/>
                <w:color w:val="000000" w:themeColor="text1"/>
                <w:szCs w:val="21"/>
              </w:rPr>
            </w:pPr>
            <w:r>
              <w:rPr>
                <w:rFonts w:eastAsiaTheme="minorEastAsia"/>
                <w:bCs/>
                <w:color w:val="000000" w:themeColor="text1"/>
                <w:szCs w:val="21"/>
              </w:rPr>
              <w:t>E</w:t>
            </w:r>
          </w:p>
        </w:tc>
        <w:tc>
          <w:tcPr>
            <w:tcW w:w="384" w:type="dxa"/>
            <w:vAlign w:val="center"/>
          </w:tcPr>
          <w:p>
            <w:pPr>
              <w:adjustRightInd w:val="0"/>
              <w:snapToGrid w:val="0"/>
              <w:spacing w:line="240" w:lineRule="exact"/>
              <w:jc w:val="center"/>
              <w:rPr>
                <w:rFonts w:eastAsiaTheme="minorEastAsia"/>
                <w:bCs/>
                <w:color w:val="000000" w:themeColor="text1"/>
                <w:szCs w:val="21"/>
              </w:rPr>
            </w:pPr>
            <w:r>
              <w:rPr>
                <w:rFonts w:eastAsiaTheme="minorEastAsia"/>
                <w:bCs/>
                <w:color w:val="000000" w:themeColor="text1"/>
                <w:szCs w:val="21"/>
              </w:rPr>
              <w:t>C</w:t>
            </w:r>
          </w:p>
        </w:tc>
        <w:tc>
          <w:tcPr>
            <w:tcW w:w="561"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D</w:t>
            </w:r>
          </w:p>
        </w:tc>
        <w:tc>
          <w:tcPr>
            <w:tcW w:w="1517" w:type="dxa"/>
            <w:vAlign w:val="center"/>
          </w:tcPr>
          <w:p>
            <w:pPr>
              <w:adjustRightInd w:val="0"/>
              <w:snapToGrid w:val="0"/>
              <w:spacing w:line="240" w:lineRule="exact"/>
              <w:jc w:val="center"/>
              <w:rPr>
                <w:rFonts w:eastAsiaTheme="minorEastAsia"/>
                <w:bCs/>
                <w:color w:val="000000" w:themeColor="text1"/>
                <w:spacing w:val="-20"/>
                <w:szCs w:val="21"/>
              </w:rPr>
            </w:pPr>
            <w:r>
              <w:rPr>
                <w:rFonts w:eastAsiaTheme="minorEastAsia"/>
                <w:bCs/>
                <w:color w:val="000000" w:themeColor="text1"/>
                <w:szCs w:val="21"/>
              </w:rPr>
              <w:t>危险程度分级</w:t>
            </w:r>
          </w:p>
        </w:tc>
        <w:tc>
          <w:tcPr>
            <w:tcW w:w="691"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M</w:t>
            </w:r>
          </w:p>
        </w:tc>
        <w:tc>
          <w:tcPr>
            <w:tcW w:w="400" w:type="dxa"/>
            <w:vAlign w:val="center"/>
          </w:tcPr>
          <w:p>
            <w:pPr>
              <w:adjustRightInd w:val="0"/>
              <w:snapToGrid w:val="0"/>
              <w:spacing w:line="240" w:lineRule="exact"/>
              <w:jc w:val="center"/>
              <w:rPr>
                <w:rFonts w:eastAsiaTheme="minorEastAsia"/>
                <w:bCs/>
                <w:color w:val="000000" w:themeColor="text1"/>
                <w:szCs w:val="21"/>
              </w:rPr>
            </w:pPr>
            <w:r>
              <w:rPr>
                <w:rFonts w:eastAsiaTheme="minorEastAsia"/>
                <w:bCs/>
                <w:color w:val="000000" w:themeColor="text1"/>
                <w:szCs w:val="21"/>
              </w:rPr>
              <w:t>L</w:t>
            </w:r>
          </w:p>
        </w:tc>
        <w:tc>
          <w:tcPr>
            <w:tcW w:w="369" w:type="dxa"/>
            <w:vAlign w:val="center"/>
          </w:tcPr>
          <w:p>
            <w:pPr>
              <w:adjustRightInd w:val="0"/>
              <w:snapToGrid w:val="0"/>
              <w:spacing w:line="240" w:lineRule="exact"/>
              <w:jc w:val="center"/>
              <w:rPr>
                <w:rFonts w:eastAsiaTheme="minorEastAsia"/>
                <w:bCs/>
                <w:color w:val="000000" w:themeColor="text1"/>
                <w:szCs w:val="21"/>
              </w:rPr>
            </w:pPr>
            <w:r>
              <w:rPr>
                <w:rFonts w:eastAsiaTheme="minorEastAsia"/>
                <w:bCs/>
                <w:color w:val="000000" w:themeColor="text1"/>
                <w:szCs w:val="21"/>
              </w:rPr>
              <w:t>E</w:t>
            </w:r>
          </w:p>
        </w:tc>
        <w:tc>
          <w:tcPr>
            <w:tcW w:w="416" w:type="dxa"/>
            <w:vAlign w:val="center"/>
          </w:tcPr>
          <w:p>
            <w:pPr>
              <w:adjustRightInd w:val="0"/>
              <w:snapToGrid w:val="0"/>
              <w:spacing w:line="240" w:lineRule="exact"/>
              <w:jc w:val="center"/>
              <w:rPr>
                <w:rFonts w:eastAsiaTheme="minorEastAsia"/>
                <w:bCs/>
                <w:color w:val="000000" w:themeColor="text1"/>
                <w:szCs w:val="21"/>
              </w:rPr>
            </w:pPr>
            <w:r>
              <w:rPr>
                <w:rFonts w:eastAsiaTheme="minorEastAsia"/>
                <w:bCs/>
                <w:color w:val="000000" w:themeColor="text1"/>
                <w:szCs w:val="21"/>
              </w:rPr>
              <w:t>C</w:t>
            </w:r>
          </w:p>
        </w:tc>
        <w:tc>
          <w:tcPr>
            <w:tcW w:w="757"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D</w:t>
            </w:r>
          </w:p>
        </w:tc>
        <w:tc>
          <w:tcPr>
            <w:tcW w:w="1490" w:type="dxa"/>
            <w:vAlign w:val="center"/>
          </w:tcPr>
          <w:p>
            <w:pPr>
              <w:adjustRightInd w:val="0"/>
              <w:snapToGrid w:val="0"/>
              <w:spacing w:line="240" w:lineRule="exact"/>
              <w:jc w:val="center"/>
              <w:rPr>
                <w:rFonts w:eastAsiaTheme="minorEastAsia"/>
                <w:bCs/>
                <w:color w:val="000000" w:themeColor="text1"/>
                <w:szCs w:val="21"/>
              </w:rPr>
            </w:pPr>
            <w:r>
              <w:rPr>
                <w:rFonts w:eastAsiaTheme="minorEastAsia"/>
                <w:bCs/>
                <w:color w:val="000000" w:themeColor="text1"/>
                <w:szCs w:val="21"/>
              </w:rPr>
              <w:t>危险程度分级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411"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卸车</w:t>
            </w:r>
          </w:p>
        </w:tc>
        <w:tc>
          <w:tcPr>
            <w:tcW w:w="38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47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384"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561" w:type="dxa"/>
            <w:vAlign w:val="center"/>
          </w:tcPr>
          <w:p>
            <w:pPr>
              <w:adjustRightInd w:val="0"/>
              <w:snapToGrid w:val="0"/>
              <w:spacing w:line="240" w:lineRule="exact"/>
              <w:jc w:val="center"/>
              <w:rPr>
                <w:rFonts w:eastAsiaTheme="minorEastAsia"/>
                <w:b/>
                <w:bCs/>
                <w:color w:val="000000" w:themeColor="text1"/>
                <w:szCs w:val="21"/>
              </w:rPr>
            </w:pPr>
            <w:r>
              <w:rPr>
                <w:rFonts w:eastAsiaTheme="minorEastAsia"/>
                <w:b/>
                <w:bCs/>
                <w:color w:val="000000" w:themeColor="text1"/>
                <w:szCs w:val="21"/>
              </w:rPr>
              <w:t>27</w:t>
            </w:r>
          </w:p>
        </w:tc>
        <w:tc>
          <w:tcPr>
            <w:tcW w:w="151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可能危险</w:t>
            </w:r>
          </w:p>
        </w:tc>
        <w:tc>
          <w:tcPr>
            <w:tcW w:w="691"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0.30</w:t>
            </w:r>
          </w:p>
        </w:tc>
        <w:tc>
          <w:tcPr>
            <w:tcW w:w="40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369"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416"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757"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8.10</w:t>
            </w:r>
          </w:p>
        </w:tc>
        <w:tc>
          <w:tcPr>
            <w:tcW w:w="149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411"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分装</w:t>
            </w:r>
          </w:p>
        </w:tc>
        <w:tc>
          <w:tcPr>
            <w:tcW w:w="38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47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6</w:t>
            </w:r>
          </w:p>
        </w:tc>
        <w:tc>
          <w:tcPr>
            <w:tcW w:w="384"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7</w:t>
            </w:r>
          </w:p>
        </w:tc>
        <w:tc>
          <w:tcPr>
            <w:tcW w:w="561" w:type="dxa"/>
            <w:vAlign w:val="center"/>
          </w:tcPr>
          <w:p>
            <w:pPr>
              <w:adjustRightInd w:val="0"/>
              <w:snapToGrid w:val="0"/>
              <w:spacing w:line="240" w:lineRule="exact"/>
              <w:jc w:val="center"/>
              <w:rPr>
                <w:rFonts w:eastAsiaTheme="minorEastAsia"/>
                <w:b/>
                <w:bCs/>
                <w:color w:val="000000" w:themeColor="text1"/>
                <w:szCs w:val="21"/>
              </w:rPr>
            </w:pPr>
            <w:r>
              <w:rPr>
                <w:rFonts w:eastAsiaTheme="minorEastAsia"/>
                <w:b/>
                <w:bCs/>
                <w:color w:val="000000" w:themeColor="text1"/>
                <w:szCs w:val="21"/>
              </w:rPr>
              <w:t>126</w:t>
            </w:r>
          </w:p>
        </w:tc>
        <w:tc>
          <w:tcPr>
            <w:tcW w:w="1517"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显著危险</w:t>
            </w:r>
          </w:p>
        </w:tc>
        <w:tc>
          <w:tcPr>
            <w:tcW w:w="691"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0.32</w:t>
            </w:r>
          </w:p>
        </w:tc>
        <w:tc>
          <w:tcPr>
            <w:tcW w:w="40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369"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6</w:t>
            </w:r>
          </w:p>
        </w:tc>
        <w:tc>
          <w:tcPr>
            <w:tcW w:w="416"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7</w:t>
            </w:r>
          </w:p>
        </w:tc>
        <w:tc>
          <w:tcPr>
            <w:tcW w:w="757"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40.32</w:t>
            </w:r>
          </w:p>
        </w:tc>
        <w:tc>
          <w:tcPr>
            <w:tcW w:w="149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可能危险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411"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储存</w:t>
            </w:r>
          </w:p>
        </w:tc>
        <w:tc>
          <w:tcPr>
            <w:tcW w:w="38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47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6</w:t>
            </w:r>
          </w:p>
        </w:tc>
        <w:tc>
          <w:tcPr>
            <w:tcW w:w="384"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7</w:t>
            </w:r>
          </w:p>
        </w:tc>
        <w:tc>
          <w:tcPr>
            <w:tcW w:w="561" w:type="dxa"/>
            <w:vAlign w:val="center"/>
          </w:tcPr>
          <w:p>
            <w:pPr>
              <w:adjustRightInd w:val="0"/>
              <w:snapToGrid w:val="0"/>
              <w:spacing w:line="240" w:lineRule="exact"/>
              <w:jc w:val="center"/>
              <w:rPr>
                <w:rFonts w:eastAsiaTheme="minorEastAsia"/>
                <w:b/>
                <w:bCs/>
                <w:color w:val="000000" w:themeColor="text1"/>
                <w:szCs w:val="21"/>
              </w:rPr>
            </w:pPr>
            <w:r>
              <w:rPr>
                <w:rFonts w:eastAsiaTheme="minorEastAsia"/>
                <w:b/>
                <w:bCs/>
                <w:color w:val="000000" w:themeColor="text1"/>
                <w:szCs w:val="21"/>
              </w:rPr>
              <w:t>126</w:t>
            </w:r>
          </w:p>
        </w:tc>
        <w:tc>
          <w:tcPr>
            <w:tcW w:w="1517"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显著危险</w:t>
            </w:r>
          </w:p>
        </w:tc>
        <w:tc>
          <w:tcPr>
            <w:tcW w:w="691"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0.32</w:t>
            </w:r>
          </w:p>
        </w:tc>
        <w:tc>
          <w:tcPr>
            <w:tcW w:w="40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369"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6</w:t>
            </w:r>
          </w:p>
        </w:tc>
        <w:tc>
          <w:tcPr>
            <w:tcW w:w="416"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7</w:t>
            </w:r>
          </w:p>
        </w:tc>
        <w:tc>
          <w:tcPr>
            <w:tcW w:w="757"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40.32</w:t>
            </w:r>
          </w:p>
        </w:tc>
        <w:tc>
          <w:tcPr>
            <w:tcW w:w="149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可能危险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411"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装车</w:t>
            </w:r>
          </w:p>
        </w:tc>
        <w:tc>
          <w:tcPr>
            <w:tcW w:w="38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47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6</w:t>
            </w:r>
          </w:p>
        </w:tc>
        <w:tc>
          <w:tcPr>
            <w:tcW w:w="384"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7</w:t>
            </w:r>
          </w:p>
        </w:tc>
        <w:tc>
          <w:tcPr>
            <w:tcW w:w="561" w:type="dxa"/>
            <w:vAlign w:val="center"/>
          </w:tcPr>
          <w:p>
            <w:pPr>
              <w:adjustRightInd w:val="0"/>
              <w:snapToGrid w:val="0"/>
              <w:spacing w:line="240" w:lineRule="exact"/>
              <w:jc w:val="center"/>
              <w:rPr>
                <w:rFonts w:eastAsiaTheme="minorEastAsia"/>
                <w:b/>
                <w:bCs/>
                <w:color w:val="000000" w:themeColor="text1"/>
                <w:szCs w:val="21"/>
              </w:rPr>
            </w:pPr>
            <w:r>
              <w:rPr>
                <w:rFonts w:eastAsiaTheme="minorEastAsia"/>
                <w:b/>
                <w:bCs/>
                <w:color w:val="000000" w:themeColor="text1"/>
                <w:szCs w:val="21"/>
              </w:rPr>
              <w:t>126</w:t>
            </w:r>
          </w:p>
        </w:tc>
        <w:tc>
          <w:tcPr>
            <w:tcW w:w="1517"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显著危险</w:t>
            </w:r>
          </w:p>
        </w:tc>
        <w:tc>
          <w:tcPr>
            <w:tcW w:w="691"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0.27</w:t>
            </w:r>
          </w:p>
        </w:tc>
        <w:tc>
          <w:tcPr>
            <w:tcW w:w="40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369"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6</w:t>
            </w:r>
          </w:p>
        </w:tc>
        <w:tc>
          <w:tcPr>
            <w:tcW w:w="416"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7</w:t>
            </w:r>
          </w:p>
        </w:tc>
        <w:tc>
          <w:tcPr>
            <w:tcW w:w="757"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34.02</w:t>
            </w:r>
          </w:p>
        </w:tc>
        <w:tc>
          <w:tcPr>
            <w:tcW w:w="149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可能危险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411"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供配电</w:t>
            </w:r>
          </w:p>
        </w:tc>
        <w:tc>
          <w:tcPr>
            <w:tcW w:w="38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47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384"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561" w:type="dxa"/>
            <w:vAlign w:val="center"/>
          </w:tcPr>
          <w:p>
            <w:pPr>
              <w:adjustRightInd w:val="0"/>
              <w:snapToGrid w:val="0"/>
              <w:spacing w:line="240" w:lineRule="exact"/>
              <w:jc w:val="center"/>
              <w:rPr>
                <w:rFonts w:eastAsiaTheme="minorEastAsia"/>
                <w:b/>
                <w:bCs/>
                <w:color w:val="000000" w:themeColor="text1"/>
                <w:szCs w:val="21"/>
              </w:rPr>
            </w:pPr>
            <w:r>
              <w:rPr>
                <w:rFonts w:eastAsiaTheme="minorEastAsia"/>
                <w:b/>
                <w:bCs/>
                <w:color w:val="000000" w:themeColor="text1"/>
                <w:szCs w:val="21"/>
              </w:rPr>
              <w:t>27</w:t>
            </w:r>
          </w:p>
        </w:tc>
        <w:tc>
          <w:tcPr>
            <w:tcW w:w="1517"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可能危险</w:t>
            </w:r>
          </w:p>
        </w:tc>
        <w:tc>
          <w:tcPr>
            <w:tcW w:w="691"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0.35</w:t>
            </w:r>
          </w:p>
        </w:tc>
        <w:tc>
          <w:tcPr>
            <w:tcW w:w="40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369"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416"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757"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9.45</w:t>
            </w:r>
          </w:p>
        </w:tc>
        <w:tc>
          <w:tcPr>
            <w:tcW w:w="149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411"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给排水</w:t>
            </w:r>
          </w:p>
        </w:tc>
        <w:tc>
          <w:tcPr>
            <w:tcW w:w="38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47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384"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561" w:type="dxa"/>
            <w:vAlign w:val="center"/>
          </w:tcPr>
          <w:p>
            <w:pPr>
              <w:adjustRightInd w:val="0"/>
              <w:snapToGrid w:val="0"/>
              <w:spacing w:line="240" w:lineRule="exact"/>
              <w:jc w:val="center"/>
              <w:rPr>
                <w:rFonts w:eastAsiaTheme="minorEastAsia"/>
                <w:b/>
                <w:bCs/>
                <w:color w:val="000000" w:themeColor="text1"/>
                <w:szCs w:val="21"/>
              </w:rPr>
            </w:pPr>
            <w:r>
              <w:rPr>
                <w:rFonts w:eastAsiaTheme="minorEastAsia"/>
                <w:b/>
                <w:bCs/>
                <w:color w:val="000000" w:themeColor="text1"/>
                <w:szCs w:val="21"/>
              </w:rPr>
              <w:t>27</w:t>
            </w:r>
          </w:p>
        </w:tc>
        <w:tc>
          <w:tcPr>
            <w:tcW w:w="151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可能危险</w:t>
            </w:r>
          </w:p>
        </w:tc>
        <w:tc>
          <w:tcPr>
            <w:tcW w:w="691"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0.32</w:t>
            </w:r>
          </w:p>
        </w:tc>
        <w:tc>
          <w:tcPr>
            <w:tcW w:w="40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369"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416"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757"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8.64</w:t>
            </w:r>
          </w:p>
        </w:tc>
        <w:tc>
          <w:tcPr>
            <w:tcW w:w="149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411"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检维修过程</w:t>
            </w:r>
          </w:p>
        </w:tc>
        <w:tc>
          <w:tcPr>
            <w:tcW w:w="38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477"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6</w:t>
            </w:r>
          </w:p>
        </w:tc>
        <w:tc>
          <w:tcPr>
            <w:tcW w:w="384"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7</w:t>
            </w:r>
          </w:p>
        </w:tc>
        <w:tc>
          <w:tcPr>
            <w:tcW w:w="561" w:type="dxa"/>
            <w:vAlign w:val="center"/>
          </w:tcPr>
          <w:p>
            <w:pPr>
              <w:adjustRightInd w:val="0"/>
              <w:snapToGrid w:val="0"/>
              <w:spacing w:line="240" w:lineRule="exact"/>
              <w:jc w:val="center"/>
              <w:rPr>
                <w:rFonts w:eastAsiaTheme="minorEastAsia"/>
                <w:b/>
                <w:bCs/>
                <w:color w:val="000000" w:themeColor="text1"/>
                <w:szCs w:val="21"/>
              </w:rPr>
            </w:pPr>
            <w:r>
              <w:rPr>
                <w:rFonts w:eastAsiaTheme="minorEastAsia"/>
                <w:b/>
                <w:bCs/>
                <w:color w:val="000000" w:themeColor="text1"/>
                <w:szCs w:val="21"/>
              </w:rPr>
              <w:t>126</w:t>
            </w:r>
          </w:p>
        </w:tc>
        <w:tc>
          <w:tcPr>
            <w:tcW w:w="1517" w:type="dxa"/>
            <w:vAlign w:val="center"/>
          </w:tcPr>
          <w:p>
            <w:pPr>
              <w:spacing w:line="240" w:lineRule="exact"/>
              <w:jc w:val="center"/>
              <w:rPr>
                <w:rFonts w:eastAsiaTheme="minorEastAsia"/>
                <w:color w:val="000000" w:themeColor="text1"/>
                <w:szCs w:val="21"/>
              </w:rPr>
            </w:pPr>
            <w:r>
              <w:rPr>
                <w:rFonts w:eastAsiaTheme="minorEastAsia"/>
                <w:color w:val="000000" w:themeColor="text1"/>
                <w:szCs w:val="21"/>
              </w:rPr>
              <w:t>显著危险</w:t>
            </w:r>
          </w:p>
        </w:tc>
        <w:tc>
          <w:tcPr>
            <w:tcW w:w="691"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0.37</w:t>
            </w:r>
          </w:p>
        </w:tc>
        <w:tc>
          <w:tcPr>
            <w:tcW w:w="40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3</w:t>
            </w:r>
          </w:p>
        </w:tc>
        <w:tc>
          <w:tcPr>
            <w:tcW w:w="369"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6</w:t>
            </w:r>
          </w:p>
        </w:tc>
        <w:tc>
          <w:tcPr>
            <w:tcW w:w="416"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7</w:t>
            </w:r>
          </w:p>
        </w:tc>
        <w:tc>
          <w:tcPr>
            <w:tcW w:w="757" w:type="dxa"/>
            <w:vAlign w:val="center"/>
          </w:tcPr>
          <w:p>
            <w:pPr>
              <w:adjustRightInd w:val="0"/>
              <w:snapToGrid w:val="0"/>
              <w:spacing w:line="240" w:lineRule="exact"/>
              <w:jc w:val="center"/>
              <w:rPr>
                <w:rFonts w:eastAsiaTheme="minorEastAsia"/>
                <w:b/>
                <w:color w:val="000000" w:themeColor="text1"/>
                <w:szCs w:val="21"/>
              </w:rPr>
            </w:pPr>
            <w:r>
              <w:rPr>
                <w:rFonts w:eastAsiaTheme="minorEastAsia"/>
                <w:b/>
                <w:color w:val="000000" w:themeColor="text1"/>
                <w:szCs w:val="21"/>
              </w:rPr>
              <w:t>46.62</w:t>
            </w:r>
          </w:p>
        </w:tc>
        <w:tc>
          <w:tcPr>
            <w:tcW w:w="1490" w:type="dxa"/>
            <w:vAlign w:val="center"/>
          </w:tcPr>
          <w:p>
            <w:pPr>
              <w:adjustRightInd w:val="0"/>
              <w:snapToGrid w:val="0"/>
              <w:spacing w:line="240" w:lineRule="exact"/>
              <w:jc w:val="center"/>
              <w:rPr>
                <w:rFonts w:eastAsiaTheme="minorEastAsia"/>
                <w:color w:val="000000" w:themeColor="text1"/>
                <w:szCs w:val="21"/>
              </w:rPr>
            </w:pPr>
            <w:r>
              <w:rPr>
                <w:rFonts w:eastAsiaTheme="minorEastAsia"/>
                <w:color w:val="000000" w:themeColor="text1"/>
                <w:szCs w:val="21"/>
              </w:rPr>
              <w:t>可能危险</w:t>
            </w:r>
          </w:p>
        </w:tc>
      </w:tr>
    </w:tbl>
    <w:p>
      <w:pPr>
        <w:pStyle w:val="34"/>
        <w:adjustRightInd w:val="0"/>
        <w:snapToGrid w:val="0"/>
        <w:spacing w:after="0" w:line="500" w:lineRule="exact"/>
        <w:ind w:left="0" w:leftChars="0"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从上表中可以看出，分装、储存、装车、检维修过程等单元是显著危险，其他单元是可能危险。但是考虑安全管理补偿系数之后，分装、储存、装车、检维修过程等单元是可能危险，其他单元是稍有危险。因此该项目在运行过程中应给予高度重视，加强防范及管理力度，确保系统安全运行，保障运营正常。</w:t>
      </w:r>
    </w:p>
    <w:p>
      <w:pPr>
        <w:pStyle w:val="19"/>
        <w:spacing w:afterLines="100" w:line="500" w:lineRule="exact"/>
        <w:jc w:val="center"/>
        <w:rPr>
          <w:rFonts w:ascii="楷体_GB2312" w:hAnsi="宋体" w:eastAsia="楷体_GB2312"/>
          <w:color w:val="000000" w:themeColor="text1"/>
          <w:kern w:val="3"/>
        </w:rPr>
      </w:pPr>
      <w:bookmarkStart w:id="1684" w:name="_Toc29510"/>
      <w:bookmarkStart w:id="1685" w:name="_Toc2655"/>
      <w:bookmarkStart w:id="1686" w:name="_Toc21464"/>
      <w:bookmarkStart w:id="1687" w:name="_Toc25767"/>
      <w:bookmarkStart w:id="1688" w:name="_Toc18308"/>
      <w:bookmarkStart w:id="1689" w:name="_Toc1579"/>
      <w:bookmarkStart w:id="1690" w:name="_Toc17335"/>
      <w:bookmarkStart w:id="1691" w:name="_Toc23400"/>
      <w:bookmarkStart w:id="1692" w:name="_Toc4099"/>
      <w:bookmarkStart w:id="1693" w:name="_Toc7301"/>
      <w:bookmarkStart w:id="1694" w:name="_Toc14405"/>
      <w:bookmarkStart w:id="1695" w:name="_Toc25066"/>
      <w:bookmarkStart w:id="1696" w:name="_Toc11885"/>
      <w:bookmarkStart w:id="1697" w:name="_Toc17043"/>
      <w:bookmarkStart w:id="1698" w:name="_Toc4414_WPSOffice_Level2"/>
      <w:bookmarkStart w:id="1699" w:name="_Toc7011"/>
      <w:r>
        <w:rPr>
          <w:rFonts w:hint="eastAsia" w:ascii="楷体_GB2312" w:hAnsi="宋体" w:eastAsia="楷体_GB2312"/>
          <w:color w:val="000000" w:themeColor="text1"/>
          <w:kern w:val="3"/>
        </w:rPr>
        <w:t>5.3厂址及总平面布置评价单元</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pPr>
        <w:pStyle w:val="19"/>
        <w:spacing w:afterLines="100" w:line="500" w:lineRule="exact"/>
        <w:rPr>
          <w:rFonts w:ascii="黑体" w:hAnsi="宋体" w:eastAsia="黑体"/>
          <w:color w:val="000000" w:themeColor="text1"/>
          <w:kern w:val="3"/>
          <w:sz w:val="28"/>
          <w:szCs w:val="28"/>
        </w:rPr>
      </w:pPr>
      <w:bookmarkStart w:id="1700" w:name="_Toc5640"/>
      <w:bookmarkStart w:id="1701" w:name="_Toc10630"/>
      <w:bookmarkStart w:id="1702" w:name="_Toc10750"/>
      <w:bookmarkStart w:id="1703" w:name="_Toc9944"/>
      <w:bookmarkStart w:id="1704" w:name="_Toc28910"/>
      <w:bookmarkStart w:id="1705" w:name="_Toc30330"/>
      <w:bookmarkStart w:id="1706" w:name="_Toc21507"/>
      <w:bookmarkStart w:id="1707" w:name="_Toc19066"/>
      <w:bookmarkStart w:id="1708" w:name="_Toc6311"/>
      <w:bookmarkStart w:id="1709" w:name="_Toc5206"/>
      <w:r>
        <w:rPr>
          <w:rFonts w:hint="eastAsia" w:ascii="黑体" w:hAnsi="宋体" w:eastAsia="黑体"/>
          <w:color w:val="000000" w:themeColor="text1"/>
          <w:kern w:val="3"/>
          <w:sz w:val="28"/>
          <w:szCs w:val="28"/>
        </w:rPr>
        <w:t>5.3.1厂址安全评价子单元</w:t>
      </w:r>
      <w:bookmarkEnd w:id="1700"/>
      <w:bookmarkEnd w:id="1701"/>
      <w:bookmarkEnd w:id="1702"/>
      <w:bookmarkEnd w:id="1703"/>
      <w:bookmarkEnd w:id="1704"/>
      <w:bookmarkEnd w:id="1705"/>
      <w:bookmarkEnd w:id="1706"/>
      <w:bookmarkEnd w:id="1707"/>
      <w:bookmarkEnd w:id="1708"/>
      <w:bookmarkEnd w:id="1709"/>
    </w:p>
    <w:p>
      <w:pPr>
        <w:spacing w:line="500" w:lineRule="exact"/>
        <w:ind w:firstLine="562" w:firstLineChars="200"/>
        <w:rPr>
          <w:rFonts w:eastAsiaTheme="minorEastAsia"/>
          <w:b/>
          <w:snapToGrid w:val="0"/>
          <w:color w:val="000000" w:themeColor="text1"/>
          <w:kern w:val="0"/>
          <w:sz w:val="28"/>
          <w:szCs w:val="28"/>
        </w:rPr>
      </w:pPr>
      <w:bookmarkStart w:id="1710" w:name="_Toc28743"/>
      <w:r>
        <w:rPr>
          <w:rFonts w:eastAsiaTheme="minorEastAsia"/>
          <w:b/>
          <w:snapToGrid w:val="0"/>
          <w:color w:val="000000" w:themeColor="text1"/>
          <w:kern w:val="0"/>
          <w:sz w:val="28"/>
          <w:szCs w:val="28"/>
        </w:rPr>
        <w:t>1</w:t>
      </w:r>
      <w:r>
        <w:rPr>
          <w:rFonts w:hint="eastAsia" w:eastAsiaTheme="minorEastAsia"/>
          <w:b/>
          <w:snapToGrid w:val="0"/>
          <w:color w:val="000000" w:themeColor="text1"/>
          <w:kern w:val="0"/>
          <w:sz w:val="28"/>
          <w:szCs w:val="28"/>
        </w:rPr>
        <w:t>.</w:t>
      </w:r>
      <w:r>
        <w:rPr>
          <w:rFonts w:eastAsiaTheme="minorEastAsia"/>
          <w:b/>
          <w:snapToGrid w:val="0"/>
          <w:color w:val="000000" w:themeColor="text1"/>
          <w:kern w:val="0"/>
          <w:sz w:val="28"/>
          <w:szCs w:val="28"/>
        </w:rPr>
        <w:t>厂址安全检查表</w:t>
      </w:r>
      <w:bookmarkEnd w:id="1710"/>
    </w:p>
    <w:p>
      <w:pPr>
        <w:adjustRightInd w:val="0"/>
        <w:snapToGrid w:val="0"/>
        <w:spacing w:line="500" w:lineRule="exact"/>
        <w:ind w:firstLine="560" w:firstLineChars="200"/>
        <w:rPr>
          <w:rFonts w:eastAsiaTheme="minorEastAsia"/>
          <w:color w:val="000000" w:themeColor="text1"/>
          <w:sz w:val="28"/>
          <w:szCs w:val="20"/>
        </w:rPr>
      </w:pPr>
      <w:r>
        <w:rPr>
          <w:rFonts w:eastAsiaTheme="minorEastAsia"/>
          <w:color w:val="000000" w:themeColor="text1"/>
          <w:sz w:val="28"/>
          <w:szCs w:val="20"/>
        </w:rPr>
        <w:t>根据《危险化学品安全管理条例》（中华人民共和国国务院令第591号，2015年修订）、《化工企业安全卫生设计规范》（HG20571-2014）、《工业企业设计卫生标准》（GBZ1-2010）、《工业企业总平面设计规范》（GB50187-2012）</w:t>
      </w:r>
      <w:r>
        <w:rPr>
          <w:rFonts w:eastAsiaTheme="minorEastAsia"/>
          <w:color w:val="000000" w:themeColor="text1"/>
          <w:sz w:val="28"/>
          <w:szCs w:val="21"/>
        </w:rPr>
        <w:t>、《汽车加油加气加氢站技术标准》（GB50156-2021）</w:t>
      </w:r>
      <w:r>
        <w:rPr>
          <w:rFonts w:eastAsiaTheme="minorEastAsia"/>
          <w:color w:val="000000" w:themeColor="text1"/>
          <w:sz w:val="28"/>
          <w:szCs w:val="20"/>
        </w:rPr>
        <w:t>等标准、规范要求，对该项目厂址进行安全分析评价，具体情况如下表所示：</w:t>
      </w:r>
    </w:p>
    <w:p>
      <w:pPr>
        <w:rPr>
          <w:rFonts w:eastAsiaTheme="minorEastAsia"/>
          <w:color w:val="000000" w:themeColor="text1"/>
          <w:sz w:val="24"/>
        </w:rPr>
      </w:pPr>
      <w:r>
        <w:rPr>
          <w:rFonts w:eastAsiaTheme="minorEastAsia"/>
          <w:color w:val="000000" w:themeColor="text1"/>
          <w:sz w:val="24"/>
        </w:rPr>
        <w:br w:type="page"/>
      </w:r>
    </w:p>
    <w:p>
      <w:pPr>
        <w:spacing w:beforeLines="50"/>
        <w:jc w:val="center"/>
        <w:rPr>
          <w:rFonts w:eastAsiaTheme="minorEastAsia"/>
          <w:color w:val="000000" w:themeColor="text1"/>
          <w:sz w:val="24"/>
        </w:rPr>
      </w:pPr>
      <w:r>
        <w:rPr>
          <w:rFonts w:eastAsiaTheme="minorEastAsia"/>
          <w:color w:val="000000" w:themeColor="text1"/>
          <w:sz w:val="24"/>
        </w:rPr>
        <w:t>表5-3厂址安全检查表</w:t>
      </w:r>
    </w:p>
    <w:tbl>
      <w:tblPr>
        <w:tblStyle w:val="52"/>
        <w:tblW w:w="89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1"/>
        <w:gridCol w:w="3195"/>
        <w:gridCol w:w="2310"/>
        <w:gridCol w:w="2190"/>
        <w:gridCol w:w="6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b/>
                <w:bCs/>
                <w:color w:val="000000" w:themeColor="text1"/>
                <w:szCs w:val="21"/>
              </w:rPr>
            </w:pPr>
            <w:r>
              <w:rPr>
                <w:rFonts w:eastAsiaTheme="minorEastAsia"/>
                <w:b/>
                <w:bCs/>
                <w:color w:val="000000" w:themeColor="text1"/>
                <w:szCs w:val="21"/>
              </w:rPr>
              <w:t>序号</w:t>
            </w:r>
          </w:p>
        </w:tc>
        <w:tc>
          <w:tcPr>
            <w:tcW w:w="3195"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b/>
                <w:bCs/>
                <w:color w:val="000000" w:themeColor="text1"/>
                <w:szCs w:val="21"/>
              </w:rPr>
            </w:pPr>
            <w:r>
              <w:rPr>
                <w:rFonts w:eastAsiaTheme="minorEastAsia"/>
                <w:b/>
                <w:bCs/>
                <w:color w:val="000000" w:themeColor="text1"/>
                <w:szCs w:val="21"/>
              </w:rPr>
              <w:t>检查内容</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b/>
                <w:bCs/>
                <w:color w:val="000000" w:themeColor="text1"/>
                <w:szCs w:val="21"/>
              </w:rPr>
            </w:pPr>
            <w:r>
              <w:rPr>
                <w:rFonts w:eastAsiaTheme="minorEastAsia"/>
                <w:b/>
                <w:bCs/>
                <w:color w:val="000000" w:themeColor="text1"/>
                <w:szCs w:val="21"/>
              </w:rPr>
              <w:t>检查依据</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b/>
                <w:bCs/>
                <w:color w:val="000000" w:themeColor="text1"/>
                <w:szCs w:val="21"/>
              </w:rPr>
            </w:pPr>
            <w:r>
              <w:rPr>
                <w:rFonts w:eastAsiaTheme="minorEastAsia"/>
                <w:b/>
                <w:bCs/>
                <w:color w:val="000000" w:themeColor="text1"/>
                <w:szCs w:val="21"/>
              </w:rPr>
              <w:t>检查记录</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b/>
                <w:bCs/>
                <w:color w:val="000000" w:themeColor="text1"/>
                <w:szCs w:val="21"/>
              </w:rPr>
            </w:pPr>
            <w:r>
              <w:rPr>
                <w:rFonts w:eastAsiaTheme="minorEastAsia"/>
                <w:b/>
                <w:bCs/>
                <w:color w:val="000000" w:themeColor="text1"/>
                <w:szCs w:val="21"/>
              </w:rPr>
              <w:t>检查结果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86"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1</w:t>
            </w:r>
          </w:p>
        </w:tc>
        <w:tc>
          <w:tcPr>
            <w:tcW w:w="3195"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危险化学品生产装置或者储存数量构成重大危险源的危险化学品储存设施（运输工具加油站、加气站除外），与下列场所、设施、区域的距离应当符合国家有关规定：</w:t>
            </w:r>
          </w:p>
          <w:p>
            <w:pPr>
              <w:spacing w:line="260" w:lineRule="exact"/>
              <w:rPr>
                <w:rFonts w:eastAsiaTheme="minorEastAsia"/>
                <w:color w:val="000000" w:themeColor="text1"/>
                <w:szCs w:val="21"/>
              </w:rPr>
            </w:pPr>
            <w:r>
              <w:rPr>
                <w:rFonts w:eastAsiaTheme="minorEastAsia"/>
                <w:color w:val="000000" w:themeColor="text1"/>
                <w:szCs w:val="21"/>
              </w:rPr>
              <w:t>（一）居住区以及商业中心、公园等人员密集场所；</w:t>
            </w:r>
          </w:p>
          <w:p>
            <w:pPr>
              <w:spacing w:line="260" w:lineRule="exact"/>
              <w:rPr>
                <w:rFonts w:eastAsiaTheme="minorEastAsia"/>
                <w:color w:val="000000" w:themeColor="text1"/>
                <w:szCs w:val="21"/>
              </w:rPr>
            </w:pPr>
            <w:r>
              <w:rPr>
                <w:rFonts w:eastAsiaTheme="minorEastAsia"/>
                <w:color w:val="000000" w:themeColor="text1"/>
                <w:szCs w:val="21"/>
              </w:rPr>
              <w:t>（二）学校、医院、影剧院、体育场（馆）等公共设施；</w:t>
            </w:r>
          </w:p>
          <w:p>
            <w:pPr>
              <w:spacing w:line="260" w:lineRule="exact"/>
              <w:rPr>
                <w:rFonts w:eastAsiaTheme="minorEastAsia"/>
                <w:color w:val="000000" w:themeColor="text1"/>
                <w:szCs w:val="21"/>
              </w:rPr>
            </w:pPr>
            <w:r>
              <w:rPr>
                <w:rFonts w:eastAsiaTheme="minorEastAsia"/>
                <w:color w:val="000000" w:themeColor="text1"/>
                <w:szCs w:val="21"/>
              </w:rPr>
              <w:t>（三）饮用水源、水厂以及水源保护区；</w:t>
            </w:r>
          </w:p>
          <w:p>
            <w:pPr>
              <w:spacing w:line="260" w:lineRule="exact"/>
              <w:rPr>
                <w:rFonts w:eastAsiaTheme="minorEastAsia"/>
                <w:color w:val="000000" w:themeColor="text1"/>
                <w:szCs w:val="21"/>
              </w:rPr>
            </w:pPr>
            <w:r>
              <w:rPr>
                <w:rFonts w:eastAsiaTheme="minorEastAsia"/>
                <w:color w:val="000000" w:themeColor="text1"/>
                <w:szCs w:val="21"/>
              </w:rPr>
              <w:t>（四）车站、码头（依法经许可从事危险化学品装卸作业的除外）、机场以及通信干线、通信枢纽、铁路线路、道路交通干线、水路交通干线、地铁风亭以及地铁站出入口；</w:t>
            </w:r>
          </w:p>
          <w:p>
            <w:pPr>
              <w:spacing w:line="260" w:lineRule="exact"/>
              <w:rPr>
                <w:rFonts w:eastAsiaTheme="minorEastAsia"/>
                <w:color w:val="000000" w:themeColor="text1"/>
                <w:szCs w:val="21"/>
              </w:rPr>
            </w:pPr>
            <w:r>
              <w:rPr>
                <w:rFonts w:eastAsiaTheme="minorEastAsia"/>
                <w:color w:val="000000" w:themeColor="text1"/>
                <w:szCs w:val="21"/>
              </w:rPr>
              <w:t>（五）基本农田保护区、基本草原、畜禽遗传资源保护区、畜禽规模化养殖场（养殖小区）、渔业水域以及种子、种畜禽、水产苗种生产基地；</w:t>
            </w:r>
          </w:p>
          <w:p>
            <w:pPr>
              <w:spacing w:line="260" w:lineRule="exact"/>
              <w:rPr>
                <w:rFonts w:eastAsiaTheme="minorEastAsia"/>
                <w:color w:val="000000" w:themeColor="text1"/>
                <w:szCs w:val="21"/>
              </w:rPr>
            </w:pPr>
            <w:r>
              <w:rPr>
                <w:rFonts w:eastAsiaTheme="minorEastAsia"/>
                <w:color w:val="000000" w:themeColor="text1"/>
                <w:szCs w:val="21"/>
              </w:rPr>
              <w:t>（六）河流、湖泊、风景名胜区、自然保护区；</w:t>
            </w:r>
          </w:p>
          <w:p>
            <w:pPr>
              <w:spacing w:line="260" w:lineRule="exact"/>
              <w:rPr>
                <w:rFonts w:eastAsiaTheme="minorEastAsia"/>
                <w:color w:val="000000" w:themeColor="text1"/>
                <w:szCs w:val="21"/>
              </w:rPr>
            </w:pPr>
            <w:r>
              <w:rPr>
                <w:rFonts w:eastAsiaTheme="minorEastAsia"/>
                <w:color w:val="000000" w:themeColor="text1"/>
                <w:szCs w:val="21"/>
              </w:rPr>
              <w:t>（七）军事禁区、军事管理区；</w:t>
            </w:r>
          </w:p>
          <w:p>
            <w:pPr>
              <w:spacing w:line="260" w:lineRule="exact"/>
              <w:rPr>
                <w:rFonts w:eastAsiaTheme="minorEastAsia"/>
                <w:color w:val="000000" w:themeColor="text1"/>
                <w:szCs w:val="21"/>
              </w:rPr>
            </w:pPr>
            <w:r>
              <w:rPr>
                <w:rFonts w:eastAsiaTheme="minorEastAsia"/>
                <w:color w:val="000000" w:themeColor="text1"/>
                <w:szCs w:val="21"/>
              </w:rPr>
              <w:t>（八）法律、行政法规规定的其他场所、设施、区域。</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《危险化学品安全管理条例》（中华人民共和国国务院令第591号，2015年修订）</w:t>
            </w:r>
          </w:p>
          <w:p>
            <w:pPr>
              <w:spacing w:line="260" w:lineRule="exact"/>
              <w:jc w:val="center"/>
              <w:rPr>
                <w:rFonts w:eastAsiaTheme="minorEastAsia"/>
                <w:color w:val="000000" w:themeColor="text1"/>
                <w:szCs w:val="21"/>
              </w:rPr>
            </w:pPr>
            <w:r>
              <w:rPr>
                <w:rFonts w:eastAsiaTheme="minorEastAsia"/>
                <w:color w:val="000000" w:themeColor="text1"/>
                <w:szCs w:val="21"/>
              </w:rPr>
              <w:t>第19条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该项目甲醇储存过程中不构成危险化学品重大危险源，且周边远离居住区等人员稠密区、公共设施等。</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2</w:t>
            </w:r>
          </w:p>
        </w:tc>
        <w:tc>
          <w:tcPr>
            <w:tcW w:w="3195"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color w:val="000000" w:themeColor="text1"/>
              </w:rPr>
              <w:t>厂址应有便利和经济的交通运输条件，与厂外铁路、公路的连接， 应便捷、工程量小。临近江、河、湖、海的厂址，通航条件满足企业运输要求时，应尽量利用水运，且厂址宜靠近适合建设码头的地段。</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000000" w:themeColor="text1"/>
              </w:rPr>
            </w:pPr>
            <w:r>
              <w:rPr>
                <w:color w:val="000000" w:themeColor="text1"/>
              </w:rPr>
              <w:t>《工业企业总平面设计规范》（GB50187-2012）</w:t>
            </w:r>
          </w:p>
          <w:p>
            <w:pPr>
              <w:spacing w:line="260" w:lineRule="exact"/>
              <w:jc w:val="center"/>
              <w:rPr>
                <w:rFonts w:eastAsiaTheme="minorEastAsia"/>
                <w:color w:val="000000" w:themeColor="text1"/>
                <w:szCs w:val="21"/>
              </w:rPr>
            </w:pPr>
            <w:r>
              <w:rPr>
                <w:color w:val="000000" w:themeColor="text1"/>
              </w:rPr>
              <w:t>第3.0.5条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eastAsiaTheme="minorEastAsia"/>
                <w:color w:val="000000" w:themeColor="text1"/>
                <w:szCs w:val="21"/>
              </w:rPr>
            </w:pPr>
            <w:r>
              <w:rPr>
                <w:rFonts w:hint="eastAsia" w:eastAsiaTheme="minorEastAsia"/>
                <w:color w:val="000000" w:themeColor="text1"/>
                <w:szCs w:val="21"/>
              </w:rPr>
              <w:t>项目位于昭通市昭阳区太平办事处桃园社区三社88号内，公司位于昭阳区城郊，交通较为方便</w:t>
            </w:r>
            <w:r>
              <w:rPr>
                <w:rFonts w:eastAsiaTheme="minorEastAsia"/>
                <w:color w:val="000000" w:themeColor="text1"/>
                <w:szCs w:val="21"/>
              </w:rPr>
              <w:t>。</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3</w:t>
            </w:r>
          </w:p>
        </w:tc>
        <w:tc>
          <w:tcPr>
            <w:tcW w:w="3195" w:type="dxa"/>
            <w:tcBorders>
              <w:top w:val="single" w:color="auto" w:sz="4" w:space="0"/>
              <w:left w:val="single" w:color="auto" w:sz="4" w:space="0"/>
              <w:bottom w:val="single" w:color="auto" w:sz="4" w:space="0"/>
              <w:right w:val="single" w:color="auto" w:sz="4" w:space="0"/>
            </w:tcBorders>
          </w:tcPr>
          <w:p>
            <w:pPr>
              <w:spacing w:line="260" w:lineRule="exact"/>
              <w:rPr>
                <w:rFonts w:eastAsiaTheme="minorEastAsia"/>
                <w:color w:val="000000" w:themeColor="text1"/>
                <w:szCs w:val="21"/>
              </w:rPr>
            </w:pPr>
            <w:r>
              <w:rPr>
                <w:color w:val="000000" w:themeColor="text1"/>
              </w:rPr>
              <w:t>厂址应具有满足生产、生活及发展所必需的水源和电源。水源和电源与厂址之间的管线连接应尽量短捷，且用水、用电量（特别）大的工业企业宜靠近水源及电源地。</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000000" w:themeColor="text1"/>
              </w:rPr>
            </w:pPr>
            <w:r>
              <w:rPr>
                <w:color w:val="000000" w:themeColor="text1"/>
              </w:rPr>
              <w:t>《工业企业总平面设计规范》（GB50187-2012）</w:t>
            </w:r>
          </w:p>
          <w:p>
            <w:pPr>
              <w:spacing w:line="260" w:lineRule="exact"/>
              <w:jc w:val="center"/>
              <w:rPr>
                <w:rFonts w:eastAsiaTheme="minorEastAsia"/>
                <w:color w:val="000000" w:themeColor="text1"/>
                <w:szCs w:val="21"/>
              </w:rPr>
            </w:pPr>
            <w:r>
              <w:rPr>
                <w:color w:val="000000" w:themeColor="text1"/>
              </w:rPr>
              <w:t>第3.0.6条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eastAsiaTheme="minorEastAsia"/>
                <w:color w:val="000000" w:themeColor="text1"/>
                <w:szCs w:val="21"/>
              </w:rPr>
            </w:pPr>
            <w:r>
              <w:rPr>
                <w:rFonts w:hint="eastAsia" w:eastAsiaTheme="minorEastAsia"/>
                <w:color w:val="000000" w:themeColor="text1"/>
                <w:szCs w:val="21"/>
              </w:rPr>
              <w:t>项目位于昭通市昭阳区太平办事处桃园社区三社88号内，公司位于昭阳区城郊，</w:t>
            </w:r>
            <w:r>
              <w:rPr>
                <w:rFonts w:eastAsiaTheme="minorEastAsia"/>
                <w:color w:val="000000" w:themeColor="text1"/>
                <w:szCs w:val="21"/>
              </w:rPr>
              <w:t>厂址具有满足储存要求的水源、电源。</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4</w:t>
            </w:r>
          </w:p>
        </w:tc>
        <w:tc>
          <w:tcPr>
            <w:tcW w:w="3195" w:type="dxa"/>
            <w:tcBorders>
              <w:top w:val="single" w:color="auto" w:sz="4" w:space="0"/>
              <w:left w:val="single" w:color="auto" w:sz="4" w:space="0"/>
              <w:bottom w:val="single" w:color="auto" w:sz="4" w:space="0"/>
              <w:right w:val="single" w:color="auto" w:sz="4" w:space="0"/>
            </w:tcBorders>
          </w:tcPr>
          <w:p>
            <w:pPr>
              <w:spacing w:line="260" w:lineRule="exact"/>
              <w:rPr>
                <w:rFonts w:eastAsiaTheme="minorEastAsia"/>
                <w:color w:val="000000" w:themeColor="text1"/>
                <w:szCs w:val="21"/>
              </w:rPr>
            </w:pPr>
            <w:r>
              <w:rPr>
                <w:color w:val="000000" w:themeColor="text1"/>
              </w:rPr>
              <w:t>散发有害物质的工业企业厂址，应位于城镇、相邻工业企业和居住区全年最小频率风向的上风侧，不应位于窝风地段，并应满足有关防护距离的要求。</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000000" w:themeColor="text1"/>
              </w:rPr>
            </w:pPr>
            <w:r>
              <w:rPr>
                <w:color w:val="000000" w:themeColor="text1"/>
              </w:rPr>
              <w:t>《工业企业总平面设计规范》（GB50187-2012）</w:t>
            </w:r>
          </w:p>
          <w:p>
            <w:pPr>
              <w:spacing w:line="260" w:lineRule="exact"/>
              <w:jc w:val="center"/>
              <w:rPr>
                <w:rFonts w:eastAsiaTheme="minorEastAsia"/>
                <w:color w:val="000000" w:themeColor="text1"/>
                <w:szCs w:val="21"/>
              </w:rPr>
            </w:pPr>
            <w:r>
              <w:rPr>
                <w:color w:val="000000" w:themeColor="text1"/>
              </w:rPr>
              <w:t>第3.0.7条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eastAsiaTheme="minorEastAsia"/>
                <w:color w:val="000000" w:themeColor="text1"/>
                <w:szCs w:val="21"/>
              </w:rPr>
            </w:pPr>
            <w:r>
              <w:rPr>
                <w:rFonts w:eastAsiaTheme="minorEastAsia"/>
                <w:color w:val="000000" w:themeColor="text1"/>
                <w:szCs w:val="21"/>
              </w:rPr>
              <w:t>该项目所在厂址不处于窝风地段，处于所在</w:t>
            </w:r>
            <w:r>
              <w:rPr>
                <w:color w:val="000000" w:themeColor="text1"/>
              </w:rPr>
              <w:t>城镇全年最小频率风向的上风侧。</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1"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5</w:t>
            </w:r>
          </w:p>
        </w:tc>
        <w:tc>
          <w:tcPr>
            <w:tcW w:w="3195"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color w:val="000000" w:themeColor="text1"/>
              </w:rPr>
              <w:t>厂址应具有满足建设工程需要的工程地质条件和水文地质条件。</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000000" w:themeColor="text1"/>
              </w:rPr>
            </w:pPr>
            <w:r>
              <w:rPr>
                <w:color w:val="000000" w:themeColor="text1"/>
              </w:rPr>
              <w:t>《工业企业总平面设计规范》（GB50187-2012）</w:t>
            </w:r>
          </w:p>
          <w:p>
            <w:pPr>
              <w:spacing w:line="260" w:lineRule="exact"/>
              <w:jc w:val="center"/>
              <w:rPr>
                <w:rFonts w:eastAsiaTheme="minorEastAsia"/>
                <w:color w:val="000000" w:themeColor="text1"/>
                <w:szCs w:val="21"/>
              </w:rPr>
            </w:pPr>
            <w:r>
              <w:rPr>
                <w:color w:val="000000" w:themeColor="text1"/>
              </w:rPr>
              <w:t>第3.0.8条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eastAsiaTheme="minorEastAsia"/>
                <w:color w:val="000000" w:themeColor="text1"/>
                <w:szCs w:val="21"/>
              </w:rPr>
            </w:pPr>
            <w:r>
              <w:rPr>
                <w:rFonts w:eastAsiaTheme="minorEastAsia"/>
                <w:color w:val="000000" w:themeColor="text1"/>
                <w:szCs w:val="21"/>
              </w:rPr>
              <w:t>该项目经营储存场所工程地质条件满足要求。</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1"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6</w:t>
            </w:r>
          </w:p>
        </w:tc>
        <w:tc>
          <w:tcPr>
            <w:tcW w:w="3195"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color w:val="000000" w:themeColor="text1"/>
              </w:rPr>
              <w:t>厂址应避开新旧矿产采掘区、水坝（或大堤）溃决后可能淹没地区、地方病严重流行区、国家及省市级文物保护区，并与《危险化学品安全管理条例》规定的敏感目标保持安全距离。</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000000" w:themeColor="text1"/>
              </w:rPr>
            </w:pPr>
            <w:r>
              <w:rPr>
                <w:color w:val="000000" w:themeColor="text1"/>
              </w:rPr>
              <w:t>《化工企业安全卫生设计规范》（HG20571-2014）</w:t>
            </w:r>
          </w:p>
          <w:p>
            <w:pPr>
              <w:spacing w:line="260" w:lineRule="exact"/>
              <w:jc w:val="center"/>
              <w:rPr>
                <w:color w:val="000000" w:themeColor="text1"/>
              </w:rPr>
            </w:pPr>
            <w:r>
              <w:rPr>
                <w:color w:val="000000" w:themeColor="text1"/>
              </w:rPr>
              <w:t>第3.1.4条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eastAsiaTheme="minorEastAsia"/>
                <w:color w:val="000000" w:themeColor="text1"/>
                <w:szCs w:val="21"/>
              </w:rPr>
            </w:pPr>
            <w:r>
              <w:rPr>
                <w:rFonts w:eastAsiaTheme="minorEastAsia"/>
                <w:color w:val="000000" w:themeColor="text1"/>
                <w:szCs w:val="21"/>
              </w:rPr>
              <w:t>该项目厂址不处于所述区域，且满足</w:t>
            </w:r>
            <w:r>
              <w:rPr>
                <w:color w:val="000000" w:themeColor="text1"/>
              </w:rPr>
              <w:t>《危险化学品安全管理条例》中规定的与敏感目标的安全距离。</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7</w:t>
            </w:r>
          </w:p>
        </w:tc>
        <w:tc>
          <w:tcPr>
            <w:tcW w:w="3195"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color w:val="000000" w:themeColor="text1"/>
              </w:rPr>
              <w:t>工业企业选址宜避开自然疫源地；对于因建设工程需要等原因不能避开的，应设计具体的疫情综合预防控制措施。</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000000" w:themeColor="text1"/>
              </w:rPr>
            </w:pPr>
            <w:r>
              <w:rPr>
                <w:color w:val="000000" w:themeColor="text1"/>
              </w:rPr>
              <w:t>《工业企业设计卫生标准》（GBZ1-2010）</w:t>
            </w:r>
          </w:p>
          <w:p>
            <w:pPr>
              <w:spacing w:line="260" w:lineRule="exact"/>
              <w:jc w:val="center"/>
              <w:rPr>
                <w:color w:val="000000" w:themeColor="text1"/>
              </w:rPr>
            </w:pPr>
            <w:r>
              <w:rPr>
                <w:color w:val="000000" w:themeColor="text1"/>
              </w:rPr>
              <w:t>第5.1.2条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eastAsiaTheme="minorEastAsia"/>
                <w:color w:val="000000" w:themeColor="text1"/>
                <w:szCs w:val="21"/>
              </w:rPr>
            </w:pPr>
            <w:r>
              <w:rPr>
                <w:rFonts w:eastAsiaTheme="minorEastAsia"/>
                <w:color w:val="000000" w:themeColor="text1"/>
                <w:szCs w:val="21"/>
              </w:rPr>
              <w:t>该项目厂址不处于</w:t>
            </w:r>
            <w:r>
              <w:rPr>
                <w:color w:val="000000" w:themeColor="text1"/>
              </w:rPr>
              <w:t>自然疫源地。</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3"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8</w:t>
            </w:r>
          </w:p>
        </w:tc>
        <w:tc>
          <w:tcPr>
            <w:tcW w:w="3195"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汽车加油加气加氢站的站址选择应符合有关规划、环境保护和防火安全的要求，并应选在交通便利 、用户使用方便的地点。</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《汽车加油加气加氢站技术标准》（GB50156-2021）第4.0.1条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eastAsiaTheme="minorEastAsia"/>
                <w:color w:val="000000" w:themeColor="text1"/>
                <w:szCs w:val="21"/>
              </w:rPr>
            </w:pPr>
            <w:r>
              <w:rPr>
                <w:rFonts w:eastAsiaTheme="minorEastAsia"/>
                <w:color w:val="000000" w:themeColor="text1"/>
                <w:szCs w:val="21"/>
              </w:rPr>
              <w:t>该项目目前仅储存甲醇外售，所在厂址交通便利，且符合所述要求。</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9</w:t>
            </w:r>
          </w:p>
        </w:tc>
        <w:tc>
          <w:tcPr>
            <w:tcW w:w="3195"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在城市中心区不应建一级汽车加油加气加氢站、CN G 加气母站。</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《汽车加油加气加氢站技术标准》（GB501562021）第4.0.2条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该项目处在农村郊区，符合所述要求。</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10</w:t>
            </w:r>
          </w:p>
        </w:tc>
        <w:tc>
          <w:tcPr>
            <w:tcW w:w="3195"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城市建成区内的汽车加油加气加氢站宜靠近城市道路，但不宜选在城市干道的交叉路 口附近。</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《汽车加油加气加氢站技术标准》（GB50156-2021） 第4.0.3条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eastAsiaTheme="minorEastAsia"/>
                <w:color w:val="000000" w:themeColor="text1"/>
                <w:szCs w:val="21"/>
              </w:rPr>
            </w:pPr>
            <w:r>
              <w:rPr>
                <w:rFonts w:eastAsiaTheme="minorEastAsia"/>
                <w:color w:val="000000" w:themeColor="text1"/>
                <w:szCs w:val="21"/>
              </w:rPr>
              <w:t>结合此公司多年运行情况，其不受洪水等所述威胁。</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5"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 xml:space="preserve"> 11</w:t>
            </w:r>
          </w:p>
        </w:tc>
        <w:tc>
          <w:tcPr>
            <w:tcW w:w="3195"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 xml:space="preserve">架空电力线路不应跨越汽车加油加气加氢站的作业区。架空通信线路不应跨越加气站、加氢合建站中加氢设施的作业区。 </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《汽车加油加气加氢站技术标准》（GB50156-2021）第4.0.12条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eastAsiaTheme="minorEastAsia"/>
                <w:color w:val="000000" w:themeColor="text1"/>
                <w:szCs w:val="21"/>
              </w:rPr>
            </w:pPr>
            <w:r>
              <w:rPr>
                <w:rFonts w:eastAsiaTheme="minorEastAsia"/>
                <w:color w:val="000000" w:themeColor="text1"/>
                <w:szCs w:val="21"/>
              </w:rPr>
              <w:t>该项目附近架空电力线、架空通信线未跨越项目工艺设备的作业区。</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5"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12</w:t>
            </w:r>
          </w:p>
        </w:tc>
        <w:tc>
          <w:tcPr>
            <w:tcW w:w="3195"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Theme="minorEastAsia"/>
                <w:color w:val="000000" w:themeColor="text1"/>
                <w:szCs w:val="21"/>
              </w:rPr>
            </w:pPr>
            <w:r>
              <w:rPr>
                <w:rFonts w:eastAsiaTheme="minorEastAsia"/>
                <w:color w:val="000000" w:themeColor="text1"/>
                <w:szCs w:val="21"/>
              </w:rPr>
              <w:t>与汽车加油加气加氢站无关的可燃介质管道不应穿越汽车加油加气加氢站用地范围。</w:t>
            </w:r>
          </w:p>
        </w:tc>
        <w:tc>
          <w:tcPr>
            <w:tcW w:w="23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《汽车加油加气加氢站技术标准》（GB50156-2021）第4.0.13条</w:t>
            </w:r>
          </w:p>
        </w:tc>
        <w:tc>
          <w:tcPr>
            <w:tcW w:w="2190"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eastAsiaTheme="minorEastAsia"/>
                <w:color w:val="000000" w:themeColor="text1"/>
                <w:szCs w:val="21"/>
              </w:rPr>
            </w:pPr>
            <w:r>
              <w:rPr>
                <w:rFonts w:eastAsiaTheme="minorEastAsia"/>
                <w:color w:val="000000" w:themeColor="text1"/>
                <w:szCs w:val="21"/>
              </w:rPr>
              <w:t>该项目用地范围内没有无关的可燃介质管道穿越。</w:t>
            </w:r>
          </w:p>
        </w:tc>
        <w:tc>
          <w:tcPr>
            <w:tcW w:w="65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Theme="minorEastAsia"/>
                <w:color w:val="000000" w:themeColor="text1"/>
                <w:szCs w:val="21"/>
              </w:rPr>
            </w:pPr>
            <w:r>
              <w:rPr>
                <w:rFonts w:eastAsiaTheme="minorEastAsia"/>
                <w:color w:val="000000" w:themeColor="text1"/>
                <w:szCs w:val="21"/>
              </w:rPr>
              <w:t>符合</w:t>
            </w:r>
          </w:p>
        </w:tc>
      </w:tr>
    </w:tbl>
    <w:p>
      <w:pPr>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由上表检查结果可知，该项目厂址符合《危险化学品安全管理条例》（国务院令第591号，2015年修订）、《工业企业总平面设计规范》（GB50187-2012）、《工业企业设计卫生标准》（GBZ1-2010）、《化工企业安全卫生设计规范》（HG20571-2014）</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《汽车加油加气加氢站技术标准》（GB50156-2021）</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《化工企业安全卫生设计规范》（HG20571-2014）等标准、规范的要求。</w:t>
      </w:r>
    </w:p>
    <w:p>
      <w:pPr>
        <w:spacing w:line="500" w:lineRule="exact"/>
        <w:ind w:firstLine="562" w:firstLineChars="200"/>
        <w:rPr>
          <w:rFonts w:eastAsiaTheme="minorEastAsia"/>
          <w:b/>
          <w:snapToGrid w:val="0"/>
          <w:color w:val="000000" w:themeColor="text1"/>
          <w:kern w:val="0"/>
          <w:sz w:val="28"/>
          <w:szCs w:val="28"/>
        </w:rPr>
      </w:pPr>
      <w:bookmarkStart w:id="1711" w:name="_Toc28590"/>
      <w:r>
        <w:rPr>
          <w:rFonts w:eastAsiaTheme="minorEastAsia"/>
          <w:b/>
          <w:snapToGrid w:val="0"/>
          <w:color w:val="000000" w:themeColor="text1"/>
          <w:kern w:val="0"/>
          <w:sz w:val="28"/>
          <w:szCs w:val="28"/>
        </w:rPr>
        <w:t>2</w:t>
      </w:r>
      <w:r>
        <w:rPr>
          <w:rFonts w:hint="eastAsia" w:eastAsiaTheme="minorEastAsia"/>
          <w:b/>
          <w:snapToGrid w:val="0"/>
          <w:color w:val="000000" w:themeColor="text1"/>
          <w:kern w:val="0"/>
          <w:sz w:val="28"/>
          <w:szCs w:val="28"/>
        </w:rPr>
        <w:t>.</w:t>
      </w:r>
      <w:r>
        <w:rPr>
          <w:rFonts w:eastAsiaTheme="minorEastAsia"/>
          <w:b/>
          <w:snapToGrid w:val="0"/>
          <w:color w:val="000000" w:themeColor="text1"/>
          <w:kern w:val="0"/>
          <w:sz w:val="28"/>
          <w:szCs w:val="28"/>
        </w:rPr>
        <w:t>甲醇储存、装卸设施与厂外周边环境的防火间距安全检查</w:t>
      </w:r>
      <w:bookmarkEnd w:id="1711"/>
    </w:p>
    <w:p>
      <w:pPr>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根据</w:t>
      </w:r>
      <w:r>
        <w:rPr>
          <w:rFonts w:eastAsiaTheme="minorEastAsia"/>
          <w:snapToGrid w:val="0"/>
          <w:color w:val="000000" w:themeColor="text1"/>
          <w:kern w:val="0"/>
          <w:sz w:val="28"/>
          <w:szCs w:val="28"/>
          <w:lang w:val="zh-CN"/>
        </w:rPr>
        <w:t>《建筑设计防火规范（2018年版）》（GB50016-2014）</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《汽车加油加气加氢站技术标准》（GB50156-2021）</w:t>
      </w:r>
      <w:r>
        <w:rPr>
          <w:rFonts w:hint="eastAsia" w:eastAsiaTheme="minorEastAsia"/>
          <w:snapToGrid w:val="0"/>
          <w:color w:val="000000" w:themeColor="text1"/>
          <w:kern w:val="0"/>
          <w:sz w:val="28"/>
          <w:szCs w:val="28"/>
        </w:rPr>
        <w:t>等</w:t>
      </w:r>
      <w:r>
        <w:rPr>
          <w:rFonts w:eastAsiaTheme="minorEastAsia"/>
          <w:snapToGrid w:val="0"/>
          <w:color w:val="000000" w:themeColor="text1"/>
          <w:kern w:val="0"/>
          <w:sz w:val="28"/>
          <w:szCs w:val="28"/>
        </w:rPr>
        <w:t>的要求对该项目甲醇储存、装卸设施与其厂外周边环境的防火间距进行安全检查，具体情况如下表所示：</w:t>
      </w:r>
    </w:p>
    <w:p>
      <w:pPr>
        <w:spacing w:line="500" w:lineRule="exact"/>
        <w:jc w:val="center"/>
        <w:rPr>
          <w:rFonts w:eastAsiaTheme="minorEastAsia"/>
          <w:color w:val="000000" w:themeColor="text1"/>
          <w:sz w:val="24"/>
        </w:rPr>
      </w:pPr>
      <w:r>
        <w:rPr>
          <w:rFonts w:eastAsiaTheme="minorEastAsia"/>
          <w:color w:val="000000" w:themeColor="text1"/>
          <w:sz w:val="24"/>
        </w:rPr>
        <w:t>表5-4甲醇储存、装卸设施与厂外周边环境的防火间距（单位：m）检查表</w:t>
      </w:r>
    </w:p>
    <w:tbl>
      <w:tblPr>
        <w:tblStyle w:val="52"/>
        <w:tblpPr w:leftFromText="180" w:rightFromText="180" w:vertAnchor="text" w:horzAnchor="page" w:tblpX="1710" w:tblpY="211"/>
        <w:tblOverlap w:val="never"/>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116"/>
        <w:gridCol w:w="1090"/>
        <w:gridCol w:w="1083"/>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trPr>
        <w:tc>
          <w:tcPr>
            <w:tcW w:w="862" w:type="dxa"/>
            <w:vMerge w:val="restart"/>
            <w:vAlign w:val="center"/>
          </w:tcPr>
          <w:p>
            <w:pPr>
              <w:keepNext/>
              <w:adjustRightInd w:val="0"/>
              <w:snapToGrid w:val="0"/>
              <w:spacing w:line="500" w:lineRule="exact"/>
              <w:jc w:val="center"/>
              <w:rPr>
                <w:color w:val="000000" w:themeColor="text1"/>
                <w:szCs w:val="21"/>
              </w:rPr>
            </w:pPr>
            <w:r>
              <w:rPr>
                <w:color w:val="000000" w:themeColor="text1"/>
                <w:szCs w:val="21"/>
              </w:rPr>
              <w:t>方位</w:t>
            </w:r>
          </w:p>
        </w:tc>
        <w:tc>
          <w:tcPr>
            <w:tcW w:w="1116" w:type="dxa"/>
            <w:vMerge w:val="restart"/>
            <w:vAlign w:val="center"/>
          </w:tcPr>
          <w:p>
            <w:pPr>
              <w:keepNext/>
              <w:adjustRightInd w:val="0"/>
              <w:snapToGrid w:val="0"/>
              <w:spacing w:line="500" w:lineRule="exact"/>
              <w:rPr>
                <w:color w:val="000000" w:themeColor="text1"/>
                <w:szCs w:val="21"/>
              </w:rPr>
            </w:pPr>
            <w:r>
              <w:rPr>
                <w:color w:val="000000" w:themeColor="text1"/>
                <w:szCs w:val="21"/>
              </w:rPr>
              <w:t>周边环境</w:t>
            </w:r>
          </w:p>
        </w:tc>
        <w:tc>
          <w:tcPr>
            <w:tcW w:w="6780" w:type="dxa"/>
            <w:gridSpan w:val="3"/>
            <w:vAlign w:val="center"/>
          </w:tcPr>
          <w:p>
            <w:pPr>
              <w:keepNext/>
              <w:adjustRightInd w:val="0"/>
              <w:snapToGrid w:val="0"/>
              <w:spacing w:line="500" w:lineRule="exact"/>
              <w:jc w:val="center"/>
              <w:rPr>
                <w:color w:val="000000" w:themeColor="text1"/>
                <w:szCs w:val="21"/>
              </w:rPr>
            </w:pPr>
            <w:r>
              <w:rPr>
                <w:color w:val="000000" w:themeColor="text1"/>
                <w:szCs w:val="21"/>
              </w:rPr>
              <w:t>甲醇罐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62" w:type="dxa"/>
            <w:vMerge w:val="continue"/>
            <w:vAlign w:val="center"/>
          </w:tcPr>
          <w:p>
            <w:pPr>
              <w:keepNext/>
              <w:adjustRightInd w:val="0"/>
              <w:snapToGrid w:val="0"/>
              <w:spacing w:line="500" w:lineRule="exact"/>
              <w:ind w:firstLine="420" w:firstLineChars="200"/>
              <w:jc w:val="center"/>
              <w:rPr>
                <w:color w:val="000000" w:themeColor="text1"/>
                <w:szCs w:val="21"/>
              </w:rPr>
            </w:pPr>
          </w:p>
        </w:tc>
        <w:tc>
          <w:tcPr>
            <w:tcW w:w="1116" w:type="dxa"/>
            <w:vMerge w:val="continue"/>
            <w:vAlign w:val="center"/>
          </w:tcPr>
          <w:p>
            <w:pPr>
              <w:keepNext/>
              <w:adjustRightInd w:val="0"/>
              <w:snapToGrid w:val="0"/>
              <w:spacing w:line="500" w:lineRule="exact"/>
              <w:ind w:firstLine="420" w:firstLineChars="200"/>
              <w:jc w:val="center"/>
              <w:rPr>
                <w:color w:val="000000" w:themeColor="text1"/>
                <w:szCs w:val="21"/>
              </w:rPr>
            </w:pPr>
          </w:p>
        </w:tc>
        <w:tc>
          <w:tcPr>
            <w:tcW w:w="1090" w:type="dxa"/>
            <w:vAlign w:val="center"/>
          </w:tcPr>
          <w:p>
            <w:pPr>
              <w:keepNext/>
              <w:adjustRightInd w:val="0"/>
              <w:snapToGrid w:val="0"/>
              <w:spacing w:line="500" w:lineRule="exact"/>
              <w:jc w:val="center"/>
              <w:rPr>
                <w:color w:val="000000" w:themeColor="text1"/>
                <w:szCs w:val="21"/>
              </w:rPr>
            </w:pPr>
            <w:r>
              <w:rPr>
                <w:color w:val="000000" w:themeColor="text1"/>
                <w:szCs w:val="21"/>
              </w:rPr>
              <w:t>实测</w:t>
            </w:r>
            <w:r>
              <w:rPr>
                <w:rFonts w:hint="eastAsia"/>
                <w:color w:val="000000" w:themeColor="text1"/>
                <w:szCs w:val="21"/>
              </w:rPr>
              <w:t>值</w:t>
            </w:r>
          </w:p>
        </w:tc>
        <w:tc>
          <w:tcPr>
            <w:tcW w:w="1083" w:type="dxa"/>
            <w:vAlign w:val="center"/>
          </w:tcPr>
          <w:p>
            <w:pPr>
              <w:keepNext/>
              <w:adjustRightInd w:val="0"/>
              <w:snapToGrid w:val="0"/>
              <w:spacing w:line="500" w:lineRule="exact"/>
              <w:jc w:val="center"/>
              <w:rPr>
                <w:b/>
                <w:bCs/>
                <w:color w:val="000000" w:themeColor="text1"/>
                <w:szCs w:val="21"/>
              </w:rPr>
            </w:pPr>
            <w:r>
              <w:rPr>
                <w:b/>
                <w:bCs/>
                <w:color w:val="000000" w:themeColor="text1"/>
                <w:szCs w:val="21"/>
              </w:rPr>
              <w:t>标准值</w:t>
            </w:r>
          </w:p>
        </w:tc>
        <w:tc>
          <w:tcPr>
            <w:tcW w:w="4607"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trPr>
        <w:tc>
          <w:tcPr>
            <w:tcW w:w="862"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东南面</w:t>
            </w:r>
          </w:p>
        </w:tc>
        <w:tc>
          <w:tcPr>
            <w:tcW w:w="1116" w:type="dxa"/>
            <w:vAlign w:val="center"/>
          </w:tcPr>
          <w:p>
            <w:pPr>
              <w:keepNext/>
              <w:adjustRightInd w:val="0"/>
              <w:snapToGrid w:val="0"/>
              <w:spacing w:line="500" w:lineRule="exact"/>
              <w:jc w:val="center"/>
              <w:rPr>
                <w:color w:val="000000" w:themeColor="text1"/>
                <w:szCs w:val="21"/>
              </w:rPr>
            </w:pPr>
            <w:r>
              <w:rPr>
                <w:color w:val="000000" w:themeColor="text1"/>
                <w:szCs w:val="21"/>
              </w:rPr>
              <w:t>民房</w:t>
            </w:r>
            <w:r>
              <w:rPr>
                <w:rFonts w:hint="eastAsia"/>
                <w:color w:val="000000" w:themeColor="text1"/>
                <w:szCs w:val="21"/>
              </w:rPr>
              <w:t>（三级）</w:t>
            </w:r>
          </w:p>
        </w:tc>
        <w:tc>
          <w:tcPr>
            <w:tcW w:w="1090"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7.5</w:t>
            </w:r>
          </w:p>
        </w:tc>
        <w:tc>
          <w:tcPr>
            <w:tcW w:w="1083" w:type="dxa"/>
            <w:vAlign w:val="center"/>
          </w:tcPr>
          <w:p>
            <w:pPr>
              <w:keepNext/>
              <w:adjustRightInd w:val="0"/>
              <w:snapToGrid w:val="0"/>
              <w:spacing w:line="500" w:lineRule="exact"/>
              <w:jc w:val="center"/>
              <w:rPr>
                <w:b/>
                <w:bCs/>
                <w:color w:val="000000" w:themeColor="text1"/>
                <w:szCs w:val="21"/>
              </w:rPr>
            </w:pPr>
            <w:r>
              <w:rPr>
                <w:rFonts w:hint="eastAsia"/>
                <w:b/>
                <w:bCs/>
                <w:color w:val="000000" w:themeColor="text1"/>
                <w:szCs w:val="21"/>
              </w:rPr>
              <w:t>7.5</w:t>
            </w:r>
          </w:p>
        </w:tc>
        <w:tc>
          <w:tcPr>
            <w:tcW w:w="4607" w:type="dxa"/>
            <w:vAlign w:val="center"/>
          </w:tcPr>
          <w:p>
            <w:pPr>
              <w:keepNext/>
              <w:adjustRightInd w:val="0"/>
              <w:snapToGrid w:val="0"/>
              <w:jc w:val="center"/>
              <w:rPr>
                <w:color w:val="000000" w:themeColor="text1"/>
                <w:szCs w:val="21"/>
              </w:rPr>
            </w:pPr>
            <w:r>
              <w:rPr>
                <w:rFonts w:hint="eastAsia"/>
                <w:color w:val="000000" w:themeColor="text1"/>
                <w:szCs w:val="21"/>
              </w:rPr>
              <w:t>《建筑设计防火规范（2018年版）》（GB50016-2014）表4.2.1及注6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blHeader/>
        </w:trPr>
        <w:tc>
          <w:tcPr>
            <w:tcW w:w="862"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西南面</w:t>
            </w:r>
          </w:p>
        </w:tc>
        <w:tc>
          <w:tcPr>
            <w:tcW w:w="1116"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民房（三级）</w:t>
            </w:r>
          </w:p>
        </w:tc>
        <w:tc>
          <w:tcPr>
            <w:tcW w:w="1090"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29.8</w:t>
            </w:r>
          </w:p>
        </w:tc>
        <w:tc>
          <w:tcPr>
            <w:tcW w:w="1083" w:type="dxa"/>
            <w:vAlign w:val="center"/>
          </w:tcPr>
          <w:p>
            <w:pPr>
              <w:keepNext/>
              <w:adjustRightInd w:val="0"/>
              <w:snapToGrid w:val="0"/>
              <w:spacing w:line="500" w:lineRule="exact"/>
              <w:jc w:val="center"/>
              <w:rPr>
                <w:b/>
                <w:bCs/>
                <w:color w:val="000000" w:themeColor="text1"/>
                <w:szCs w:val="21"/>
              </w:rPr>
            </w:pPr>
            <w:r>
              <w:rPr>
                <w:rFonts w:hint="eastAsia"/>
                <w:b/>
                <w:bCs/>
                <w:color w:val="000000" w:themeColor="text1"/>
                <w:szCs w:val="21"/>
              </w:rPr>
              <w:t>7.5</w:t>
            </w:r>
          </w:p>
        </w:tc>
        <w:tc>
          <w:tcPr>
            <w:tcW w:w="4607" w:type="dxa"/>
            <w:vAlign w:val="center"/>
          </w:tcPr>
          <w:p>
            <w:pPr>
              <w:keepNext/>
              <w:adjustRightInd w:val="0"/>
              <w:snapToGrid w:val="0"/>
              <w:jc w:val="center"/>
              <w:rPr>
                <w:color w:val="000000" w:themeColor="text1"/>
                <w:szCs w:val="21"/>
              </w:rPr>
            </w:pPr>
            <w:r>
              <w:rPr>
                <w:rFonts w:hint="eastAsia"/>
                <w:color w:val="000000" w:themeColor="text1"/>
                <w:szCs w:val="21"/>
              </w:rPr>
              <w:t>《建筑设计防火规范（2018年版）》（GB50016-2014）表4.2.1及注6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trPr>
        <w:tc>
          <w:tcPr>
            <w:tcW w:w="862"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东面</w:t>
            </w:r>
          </w:p>
        </w:tc>
        <w:tc>
          <w:tcPr>
            <w:tcW w:w="1116"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民房</w:t>
            </w:r>
          </w:p>
        </w:tc>
        <w:tc>
          <w:tcPr>
            <w:tcW w:w="1090"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10.7</w:t>
            </w:r>
          </w:p>
        </w:tc>
        <w:tc>
          <w:tcPr>
            <w:tcW w:w="1083" w:type="dxa"/>
            <w:vAlign w:val="center"/>
          </w:tcPr>
          <w:p>
            <w:pPr>
              <w:keepNext/>
              <w:adjustRightInd w:val="0"/>
              <w:snapToGrid w:val="0"/>
              <w:spacing w:line="500" w:lineRule="exact"/>
              <w:jc w:val="center"/>
              <w:rPr>
                <w:b/>
                <w:bCs/>
                <w:color w:val="000000" w:themeColor="text1"/>
                <w:szCs w:val="21"/>
              </w:rPr>
            </w:pPr>
            <w:r>
              <w:rPr>
                <w:rFonts w:hint="eastAsia"/>
                <w:b/>
                <w:bCs/>
                <w:color w:val="000000" w:themeColor="text1"/>
                <w:szCs w:val="21"/>
              </w:rPr>
              <w:t>7.5</w:t>
            </w:r>
          </w:p>
        </w:tc>
        <w:tc>
          <w:tcPr>
            <w:tcW w:w="4607" w:type="dxa"/>
            <w:vAlign w:val="center"/>
          </w:tcPr>
          <w:p>
            <w:pPr>
              <w:keepNext/>
              <w:adjustRightInd w:val="0"/>
              <w:snapToGrid w:val="0"/>
              <w:jc w:val="center"/>
              <w:rPr>
                <w:color w:val="000000" w:themeColor="text1"/>
                <w:szCs w:val="21"/>
              </w:rPr>
            </w:pPr>
            <w:r>
              <w:rPr>
                <w:rFonts w:hint="eastAsia"/>
                <w:color w:val="000000" w:themeColor="text1"/>
                <w:szCs w:val="21"/>
              </w:rPr>
              <w:t>《建筑设计防火规范（2018年版）》（GB50016-2014）表4.2.1及注6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trPr>
        <w:tc>
          <w:tcPr>
            <w:tcW w:w="862"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南</w:t>
            </w:r>
          </w:p>
        </w:tc>
        <w:tc>
          <w:tcPr>
            <w:tcW w:w="1116"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公路</w:t>
            </w:r>
          </w:p>
        </w:tc>
        <w:tc>
          <w:tcPr>
            <w:tcW w:w="1090" w:type="dxa"/>
            <w:vAlign w:val="center"/>
          </w:tcPr>
          <w:p>
            <w:pPr>
              <w:keepNext/>
              <w:adjustRightInd w:val="0"/>
              <w:snapToGrid w:val="0"/>
              <w:spacing w:line="500" w:lineRule="exact"/>
              <w:jc w:val="center"/>
              <w:rPr>
                <w:color w:val="000000" w:themeColor="text1"/>
                <w:szCs w:val="21"/>
              </w:rPr>
            </w:pPr>
            <w:r>
              <w:rPr>
                <w:rFonts w:hint="eastAsia"/>
                <w:color w:val="000000" w:themeColor="text1"/>
                <w:szCs w:val="21"/>
              </w:rPr>
              <w:t>20</w:t>
            </w:r>
          </w:p>
        </w:tc>
        <w:tc>
          <w:tcPr>
            <w:tcW w:w="1083" w:type="dxa"/>
            <w:vAlign w:val="center"/>
          </w:tcPr>
          <w:p>
            <w:pPr>
              <w:keepNext/>
              <w:adjustRightInd w:val="0"/>
              <w:snapToGrid w:val="0"/>
              <w:spacing w:line="500" w:lineRule="exact"/>
              <w:jc w:val="center"/>
              <w:rPr>
                <w:b/>
                <w:bCs/>
                <w:color w:val="000000" w:themeColor="text1"/>
                <w:szCs w:val="21"/>
              </w:rPr>
            </w:pPr>
            <w:r>
              <w:rPr>
                <w:rFonts w:hint="eastAsia"/>
                <w:b/>
                <w:bCs/>
                <w:color w:val="000000" w:themeColor="text1"/>
                <w:szCs w:val="21"/>
              </w:rPr>
              <w:t>20</w:t>
            </w:r>
          </w:p>
        </w:tc>
        <w:tc>
          <w:tcPr>
            <w:tcW w:w="4607" w:type="dxa"/>
            <w:vAlign w:val="center"/>
          </w:tcPr>
          <w:p>
            <w:pPr>
              <w:keepNext/>
              <w:adjustRightInd w:val="0"/>
              <w:snapToGrid w:val="0"/>
              <w:jc w:val="center"/>
              <w:rPr>
                <w:color w:val="000000" w:themeColor="text1"/>
                <w:szCs w:val="21"/>
              </w:rPr>
            </w:pPr>
            <w:r>
              <w:rPr>
                <w:rFonts w:hint="eastAsia"/>
                <w:color w:val="000000" w:themeColor="text1"/>
                <w:szCs w:val="21"/>
              </w:rPr>
              <w:t>《建筑设计防火规范（2018年版）》（GB50016-2014）表4.2.9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trPr>
        <w:tc>
          <w:tcPr>
            <w:tcW w:w="862" w:type="dxa"/>
            <w:vMerge w:val="restart"/>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color w:val="000000" w:themeColor="text1"/>
                <w:szCs w:val="21"/>
              </w:rPr>
              <w:t>方位</w:t>
            </w:r>
          </w:p>
        </w:tc>
        <w:tc>
          <w:tcPr>
            <w:tcW w:w="1116" w:type="dxa"/>
            <w:vMerge w:val="restart"/>
            <w:vAlign w:val="center"/>
          </w:tcPr>
          <w:p>
            <w:pPr>
              <w:keepNext/>
              <w:adjustRightInd w:val="0"/>
              <w:snapToGrid w:val="0"/>
              <w:spacing w:line="500" w:lineRule="exact"/>
              <w:rPr>
                <w:rFonts w:hint="eastAsia" w:ascii="Times New Roman" w:hAnsi="Times New Roman" w:eastAsia="宋体" w:cs="Times New Roman"/>
                <w:color w:val="000000" w:themeColor="text1"/>
                <w:kern w:val="2"/>
                <w:sz w:val="21"/>
                <w:szCs w:val="21"/>
                <w:lang w:val="en-US" w:eastAsia="zh-CN" w:bidi="ar-SA"/>
              </w:rPr>
            </w:pPr>
            <w:r>
              <w:rPr>
                <w:color w:val="000000" w:themeColor="text1"/>
                <w:szCs w:val="21"/>
              </w:rPr>
              <w:t>周边环境</w:t>
            </w:r>
          </w:p>
        </w:tc>
        <w:tc>
          <w:tcPr>
            <w:tcW w:w="6780" w:type="dxa"/>
            <w:gridSpan w:val="3"/>
            <w:vAlign w:val="center"/>
          </w:tcPr>
          <w:p>
            <w:pPr>
              <w:keepNext/>
              <w:adjustRightInd w:val="0"/>
              <w:snapToGrid w:val="0"/>
              <w:spacing w:line="500" w:lineRule="exact"/>
              <w:jc w:val="center"/>
              <w:rPr>
                <w:rFonts w:hint="eastAsia"/>
                <w:color w:val="000000" w:themeColor="text1"/>
                <w:szCs w:val="21"/>
              </w:rPr>
            </w:pPr>
            <w:r>
              <w:rPr>
                <w:rFonts w:hint="eastAsia"/>
                <w:color w:val="000000" w:themeColor="text1"/>
                <w:szCs w:val="21"/>
                <w:lang w:val="en-US" w:eastAsia="zh-CN"/>
              </w:rPr>
              <w:t>加注机、</w:t>
            </w:r>
            <w:r>
              <w:rPr>
                <w:color w:val="000000" w:themeColor="text1"/>
                <w:szCs w:val="21"/>
              </w:rPr>
              <w:t>甲醇通气口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trPr>
        <w:tc>
          <w:tcPr>
            <w:tcW w:w="862" w:type="dxa"/>
            <w:vMerge w:val="continue"/>
            <w:vAlign w:val="center"/>
          </w:tcPr>
          <w:p>
            <w:pPr>
              <w:keepNext/>
              <w:adjustRightInd w:val="0"/>
              <w:snapToGrid w:val="0"/>
              <w:spacing w:line="500" w:lineRule="exact"/>
              <w:jc w:val="center"/>
              <w:rPr>
                <w:rFonts w:hint="eastAsia"/>
                <w:color w:val="000000" w:themeColor="text1"/>
                <w:szCs w:val="21"/>
              </w:rPr>
            </w:pPr>
          </w:p>
        </w:tc>
        <w:tc>
          <w:tcPr>
            <w:tcW w:w="1116" w:type="dxa"/>
            <w:vMerge w:val="continue"/>
            <w:vAlign w:val="center"/>
          </w:tcPr>
          <w:p>
            <w:pPr>
              <w:keepNext/>
              <w:adjustRightInd w:val="0"/>
              <w:snapToGrid w:val="0"/>
              <w:spacing w:line="500" w:lineRule="exact"/>
              <w:jc w:val="center"/>
              <w:rPr>
                <w:rFonts w:hint="eastAsia"/>
                <w:color w:val="000000" w:themeColor="text1"/>
                <w:szCs w:val="21"/>
              </w:rPr>
            </w:pPr>
          </w:p>
        </w:tc>
        <w:tc>
          <w:tcPr>
            <w:tcW w:w="1090" w:type="dxa"/>
            <w:vAlign w:val="center"/>
          </w:tcPr>
          <w:p>
            <w:pPr>
              <w:keepNext/>
              <w:adjustRightInd w:val="0"/>
              <w:snapToGrid w:val="0"/>
              <w:spacing w:line="500" w:lineRule="exact"/>
              <w:jc w:val="center"/>
              <w:rPr>
                <w:rFonts w:hint="eastAsia"/>
                <w:color w:val="000000" w:themeColor="text1"/>
                <w:szCs w:val="21"/>
              </w:rPr>
            </w:pPr>
            <w:r>
              <w:rPr>
                <w:color w:val="000000" w:themeColor="text1"/>
                <w:szCs w:val="21"/>
              </w:rPr>
              <w:t>实测值</w:t>
            </w:r>
          </w:p>
        </w:tc>
        <w:tc>
          <w:tcPr>
            <w:tcW w:w="1083" w:type="dxa"/>
            <w:vAlign w:val="center"/>
          </w:tcPr>
          <w:p>
            <w:pPr>
              <w:keepNext/>
              <w:adjustRightInd w:val="0"/>
              <w:snapToGrid w:val="0"/>
              <w:spacing w:line="500" w:lineRule="exact"/>
              <w:jc w:val="center"/>
              <w:rPr>
                <w:rFonts w:hint="eastAsia"/>
                <w:b/>
                <w:bCs/>
                <w:color w:val="000000" w:themeColor="text1"/>
                <w:szCs w:val="21"/>
              </w:rPr>
            </w:pPr>
            <w:r>
              <w:rPr>
                <w:b/>
                <w:bCs/>
                <w:color w:val="000000" w:themeColor="text1"/>
                <w:szCs w:val="21"/>
              </w:rPr>
              <w:t>标准值</w:t>
            </w:r>
          </w:p>
        </w:tc>
        <w:tc>
          <w:tcPr>
            <w:tcW w:w="4607" w:type="dxa"/>
            <w:vAlign w:val="center"/>
          </w:tcPr>
          <w:p>
            <w:pPr>
              <w:keepNext/>
              <w:adjustRightInd w:val="0"/>
              <w:snapToGrid w:val="0"/>
              <w:spacing w:line="500" w:lineRule="exact"/>
              <w:jc w:val="center"/>
              <w:rPr>
                <w:rFonts w:hint="eastAsia"/>
                <w:color w:val="000000" w:themeColor="text1"/>
                <w:szCs w:val="21"/>
              </w:rPr>
            </w:pPr>
            <w:r>
              <w:rPr>
                <w:rFonts w:hint="eastAsia"/>
                <w:color w:val="000000" w:themeColor="text1"/>
                <w:szCs w:val="21"/>
              </w:rPr>
              <w:t>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trPr>
        <w:tc>
          <w:tcPr>
            <w:tcW w:w="862"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东南面</w:t>
            </w:r>
          </w:p>
        </w:tc>
        <w:tc>
          <w:tcPr>
            <w:tcW w:w="1116"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color w:val="000000" w:themeColor="text1"/>
                <w:szCs w:val="21"/>
              </w:rPr>
              <w:t>民房</w:t>
            </w:r>
            <w:r>
              <w:rPr>
                <w:rFonts w:hint="eastAsia"/>
                <w:color w:val="000000" w:themeColor="text1"/>
                <w:szCs w:val="21"/>
              </w:rPr>
              <w:t>（三级）</w:t>
            </w:r>
          </w:p>
        </w:tc>
        <w:tc>
          <w:tcPr>
            <w:tcW w:w="1090" w:type="dxa"/>
            <w:vAlign w:val="center"/>
          </w:tcPr>
          <w:p>
            <w:pPr>
              <w:keepNext/>
              <w:adjustRightInd w:val="0"/>
              <w:snapToGrid w:val="0"/>
              <w:spacing w:line="500" w:lineRule="exact"/>
              <w:jc w:val="center"/>
              <w:rPr>
                <w:rFonts w:hint="default" w:eastAsia="宋体"/>
                <w:color w:val="000000" w:themeColor="text1"/>
                <w:szCs w:val="21"/>
                <w:lang w:val="en-US" w:eastAsia="zh-CN"/>
              </w:rPr>
            </w:pPr>
            <w:r>
              <w:rPr>
                <w:rFonts w:hint="eastAsia"/>
                <w:color w:val="000000" w:themeColor="text1"/>
                <w:szCs w:val="21"/>
                <w:lang w:val="en-US" w:eastAsia="zh-CN"/>
              </w:rPr>
              <w:t>11.7</w:t>
            </w:r>
          </w:p>
        </w:tc>
        <w:tc>
          <w:tcPr>
            <w:tcW w:w="1083" w:type="dxa"/>
            <w:vAlign w:val="center"/>
          </w:tcPr>
          <w:p>
            <w:pPr>
              <w:keepNext/>
              <w:adjustRightInd w:val="0"/>
              <w:snapToGrid w:val="0"/>
              <w:spacing w:line="500" w:lineRule="exact"/>
              <w:jc w:val="center"/>
              <w:rPr>
                <w:rFonts w:hint="eastAsia" w:eastAsia="宋体"/>
                <w:b/>
                <w:bCs/>
                <w:color w:val="000000" w:themeColor="text1"/>
                <w:szCs w:val="21"/>
                <w:lang w:val="en-US" w:eastAsia="zh-CN"/>
              </w:rPr>
            </w:pPr>
            <w:r>
              <w:rPr>
                <w:rFonts w:hint="eastAsia"/>
                <w:b/>
                <w:bCs/>
                <w:color w:val="000000" w:themeColor="text1"/>
                <w:szCs w:val="21"/>
                <w:lang w:val="en-US" w:eastAsia="zh-CN"/>
              </w:rPr>
              <w:t>7</w:t>
            </w:r>
          </w:p>
        </w:tc>
        <w:tc>
          <w:tcPr>
            <w:tcW w:w="4607" w:type="dxa"/>
            <w:vAlign w:val="center"/>
          </w:tcPr>
          <w:p>
            <w:pPr>
              <w:keepNext/>
              <w:adjustRightInd w:val="0"/>
              <w:snapToGrid w:val="0"/>
              <w:jc w:val="center"/>
              <w:rPr>
                <w:rFonts w:hint="default" w:eastAsia="宋体"/>
                <w:color w:val="000000" w:themeColor="text1"/>
                <w:szCs w:val="21"/>
                <w:lang w:val="en-US" w:eastAsia="zh-CN"/>
              </w:rPr>
            </w:pPr>
            <w:r>
              <w:rPr>
                <w:rFonts w:hint="eastAsia"/>
                <w:color w:val="000000" w:themeColor="text1"/>
                <w:szCs w:val="21"/>
              </w:rPr>
              <w:t>《汽车加油加气加氢站技术标准》（GB50156-2021）</w:t>
            </w:r>
            <w:r>
              <w:rPr>
                <w:rFonts w:hint="eastAsia"/>
                <w:color w:val="000000" w:themeColor="text1"/>
                <w:szCs w:val="21"/>
                <w:lang w:val="en-US" w:eastAsia="zh-CN"/>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trPr>
        <w:tc>
          <w:tcPr>
            <w:tcW w:w="862"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西南面</w:t>
            </w:r>
          </w:p>
        </w:tc>
        <w:tc>
          <w:tcPr>
            <w:tcW w:w="1116"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民房（三级）</w:t>
            </w:r>
          </w:p>
        </w:tc>
        <w:tc>
          <w:tcPr>
            <w:tcW w:w="1090" w:type="dxa"/>
            <w:vAlign w:val="center"/>
          </w:tcPr>
          <w:p>
            <w:pPr>
              <w:keepNext/>
              <w:adjustRightInd w:val="0"/>
              <w:snapToGrid w:val="0"/>
              <w:spacing w:line="500" w:lineRule="exact"/>
              <w:jc w:val="center"/>
              <w:rPr>
                <w:rFonts w:hint="default" w:eastAsia="宋体"/>
                <w:color w:val="000000" w:themeColor="text1"/>
                <w:szCs w:val="21"/>
                <w:lang w:val="en-US" w:eastAsia="zh-CN"/>
              </w:rPr>
            </w:pPr>
            <w:r>
              <w:rPr>
                <w:rFonts w:hint="eastAsia"/>
                <w:color w:val="000000" w:themeColor="text1"/>
                <w:szCs w:val="21"/>
                <w:lang w:val="en-US" w:eastAsia="zh-CN"/>
              </w:rPr>
              <w:t>32</w:t>
            </w:r>
          </w:p>
        </w:tc>
        <w:tc>
          <w:tcPr>
            <w:tcW w:w="1083" w:type="dxa"/>
            <w:vAlign w:val="center"/>
          </w:tcPr>
          <w:p>
            <w:pPr>
              <w:keepNext/>
              <w:adjustRightInd w:val="0"/>
              <w:snapToGrid w:val="0"/>
              <w:spacing w:line="500" w:lineRule="exact"/>
              <w:jc w:val="center"/>
              <w:rPr>
                <w:rFonts w:hint="eastAsia" w:eastAsia="宋体"/>
                <w:b/>
                <w:bCs/>
                <w:color w:val="000000" w:themeColor="text1"/>
                <w:szCs w:val="21"/>
                <w:lang w:val="en-US" w:eastAsia="zh-CN"/>
              </w:rPr>
            </w:pPr>
            <w:r>
              <w:rPr>
                <w:rFonts w:hint="eastAsia"/>
                <w:b/>
                <w:bCs/>
                <w:color w:val="000000" w:themeColor="text1"/>
                <w:szCs w:val="21"/>
                <w:lang w:val="en-US" w:eastAsia="zh-CN"/>
              </w:rPr>
              <w:t>7</w:t>
            </w:r>
          </w:p>
        </w:tc>
        <w:tc>
          <w:tcPr>
            <w:tcW w:w="4607" w:type="dxa"/>
            <w:vAlign w:val="center"/>
          </w:tcPr>
          <w:p>
            <w:pPr>
              <w:keepNext/>
              <w:adjustRightInd w:val="0"/>
              <w:snapToGrid w:val="0"/>
              <w:jc w:val="center"/>
              <w:rPr>
                <w:rFonts w:hint="eastAsia"/>
                <w:color w:val="000000" w:themeColor="text1"/>
                <w:szCs w:val="21"/>
              </w:rPr>
            </w:pPr>
            <w:r>
              <w:rPr>
                <w:rFonts w:hint="eastAsia"/>
                <w:color w:val="000000" w:themeColor="text1"/>
                <w:szCs w:val="21"/>
              </w:rPr>
              <w:t>《汽车加油加气加氢站技术标准》（GB50156-2021）</w:t>
            </w:r>
            <w:r>
              <w:rPr>
                <w:rFonts w:hint="eastAsia"/>
                <w:color w:val="000000" w:themeColor="text1"/>
                <w:szCs w:val="21"/>
                <w:lang w:val="en-US" w:eastAsia="zh-CN"/>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blHeader/>
        </w:trPr>
        <w:tc>
          <w:tcPr>
            <w:tcW w:w="862"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东面</w:t>
            </w:r>
          </w:p>
        </w:tc>
        <w:tc>
          <w:tcPr>
            <w:tcW w:w="1116"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民房</w:t>
            </w:r>
          </w:p>
        </w:tc>
        <w:tc>
          <w:tcPr>
            <w:tcW w:w="1090" w:type="dxa"/>
            <w:vAlign w:val="center"/>
          </w:tcPr>
          <w:p>
            <w:pPr>
              <w:keepNext/>
              <w:adjustRightInd w:val="0"/>
              <w:snapToGrid w:val="0"/>
              <w:spacing w:line="500" w:lineRule="exact"/>
              <w:jc w:val="center"/>
              <w:rPr>
                <w:rFonts w:hint="default" w:eastAsia="宋体"/>
                <w:color w:val="000000" w:themeColor="text1"/>
                <w:szCs w:val="21"/>
                <w:lang w:val="en-US" w:eastAsia="zh-CN"/>
              </w:rPr>
            </w:pPr>
            <w:r>
              <w:rPr>
                <w:rFonts w:hint="eastAsia"/>
                <w:color w:val="000000" w:themeColor="text1"/>
                <w:szCs w:val="21"/>
                <w:lang w:val="en-US" w:eastAsia="zh-CN"/>
              </w:rPr>
              <w:t>1.7</w:t>
            </w:r>
          </w:p>
        </w:tc>
        <w:tc>
          <w:tcPr>
            <w:tcW w:w="1083" w:type="dxa"/>
            <w:vAlign w:val="center"/>
          </w:tcPr>
          <w:p>
            <w:pPr>
              <w:keepNext/>
              <w:adjustRightInd w:val="0"/>
              <w:snapToGrid w:val="0"/>
              <w:spacing w:line="500" w:lineRule="exact"/>
              <w:jc w:val="center"/>
              <w:rPr>
                <w:rFonts w:hint="eastAsia" w:eastAsia="宋体"/>
                <w:b/>
                <w:bCs/>
                <w:color w:val="000000" w:themeColor="text1"/>
                <w:szCs w:val="21"/>
                <w:lang w:val="en-US" w:eastAsia="zh-CN"/>
              </w:rPr>
            </w:pPr>
            <w:r>
              <w:rPr>
                <w:rFonts w:hint="eastAsia"/>
                <w:b/>
                <w:bCs/>
                <w:color w:val="000000" w:themeColor="text1"/>
                <w:szCs w:val="21"/>
                <w:lang w:val="en-US" w:eastAsia="zh-CN"/>
              </w:rPr>
              <w:t>7</w:t>
            </w:r>
          </w:p>
        </w:tc>
        <w:tc>
          <w:tcPr>
            <w:tcW w:w="4607" w:type="dxa"/>
            <w:vAlign w:val="center"/>
          </w:tcPr>
          <w:p>
            <w:pPr>
              <w:keepNext/>
              <w:adjustRightInd w:val="0"/>
              <w:snapToGrid w:val="0"/>
              <w:jc w:val="center"/>
              <w:rPr>
                <w:rFonts w:hint="eastAsia"/>
                <w:color w:val="000000" w:themeColor="text1"/>
                <w:szCs w:val="21"/>
              </w:rPr>
            </w:pPr>
            <w:r>
              <w:rPr>
                <w:rFonts w:hint="eastAsia"/>
                <w:color w:val="000000" w:themeColor="text1"/>
                <w:szCs w:val="21"/>
              </w:rPr>
              <w:t>《汽车加油加气加氢站技术标准》（GB50156-2021）</w:t>
            </w:r>
            <w:r>
              <w:rPr>
                <w:rFonts w:hint="eastAsia"/>
                <w:color w:val="000000" w:themeColor="text1"/>
                <w:szCs w:val="21"/>
                <w:lang w:val="en-US" w:eastAsia="zh-CN"/>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trPr>
        <w:tc>
          <w:tcPr>
            <w:tcW w:w="862"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南</w:t>
            </w:r>
          </w:p>
        </w:tc>
        <w:tc>
          <w:tcPr>
            <w:tcW w:w="1116" w:type="dxa"/>
            <w:vAlign w:val="center"/>
          </w:tcPr>
          <w:p>
            <w:pPr>
              <w:keepNext/>
              <w:adjustRightInd w:val="0"/>
              <w:snapToGrid w:val="0"/>
              <w:spacing w:line="500" w:lineRule="exact"/>
              <w:jc w:val="cente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公路</w:t>
            </w:r>
          </w:p>
        </w:tc>
        <w:tc>
          <w:tcPr>
            <w:tcW w:w="1090" w:type="dxa"/>
            <w:vAlign w:val="center"/>
          </w:tcPr>
          <w:p>
            <w:pPr>
              <w:keepNext/>
              <w:adjustRightInd w:val="0"/>
              <w:snapToGrid w:val="0"/>
              <w:spacing w:line="500" w:lineRule="exact"/>
              <w:jc w:val="center"/>
              <w:rPr>
                <w:rFonts w:hint="default" w:eastAsia="宋体"/>
                <w:color w:val="000000" w:themeColor="text1"/>
                <w:szCs w:val="21"/>
                <w:lang w:val="en-US" w:eastAsia="zh-CN"/>
              </w:rPr>
            </w:pPr>
            <w:r>
              <w:rPr>
                <w:rFonts w:hint="eastAsia"/>
                <w:color w:val="000000" w:themeColor="text1"/>
                <w:szCs w:val="21"/>
                <w:lang w:val="en-US" w:eastAsia="zh-CN"/>
              </w:rPr>
              <w:t>24.2</w:t>
            </w:r>
          </w:p>
        </w:tc>
        <w:tc>
          <w:tcPr>
            <w:tcW w:w="1083" w:type="dxa"/>
            <w:vAlign w:val="center"/>
          </w:tcPr>
          <w:p>
            <w:pPr>
              <w:keepNext/>
              <w:adjustRightInd w:val="0"/>
              <w:snapToGrid w:val="0"/>
              <w:spacing w:line="500" w:lineRule="exact"/>
              <w:jc w:val="center"/>
              <w:rPr>
                <w:rFonts w:hint="default" w:eastAsia="宋体"/>
                <w:b/>
                <w:bCs/>
                <w:color w:val="000000" w:themeColor="text1"/>
                <w:szCs w:val="21"/>
                <w:lang w:val="en-US" w:eastAsia="zh-CN"/>
              </w:rPr>
            </w:pPr>
            <w:r>
              <w:rPr>
                <w:rFonts w:hint="eastAsia"/>
                <w:b/>
                <w:bCs/>
                <w:color w:val="000000" w:themeColor="text1"/>
                <w:szCs w:val="21"/>
                <w:lang w:val="en-US" w:eastAsia="zh-CN"/>
              </w:rPr>
              <w:t>5</w:t>
            </w:r>
          </w:p>
        </w:tc>
        <w:tc>
          <w:tcPr>
            <w:tcW w:w="4607" w:type="dxa"/>
            <w:vAlign w:val="center"/>
          </w:tcPr>
          <w:p>
            <w:pPr>
              <w:keepNext/>
              <w:adjustRightInd w:val="0"/>
              <w:snapToGrid w:val="0"/>
              <w:jc w:val="center"/>
              <w:rPr>
                <w:rFonts w:hint="eastAsia"/>
                <w:color w:val="000000" w:themeColor="text1"/>
                <w:szCs w:val="21"/>
              </w:rPr>
            </w:pPr>
            <w:r>
              <w:rPr>
                <w:rFonts w:hint="eastAsia"/>
                <w:color w:val="000000" w:themeColor="text1"/>
                <w:szCs w:val="21"/>
              </w:rPr>
              <w:t>《汽车加油加气加氢站技术标准》（GB50156-2021）</w:t>
            </w:r>
            <w:r>
              <w:rPr>
                <w:rFonts w:hint="eastAsia"/>
                <w:color w:val="000000" w:themeColor="text1"/>
                <w:szCs w:val="21"/>
                <w:lang w:val="en-US" w:eastAsia="zh-CN"/>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trPr>
        <w:tc>
          <w:tcPr>
            <w:tcW w:w="862" w:type="dxa"/>
            <w:vAlign w:val="center"/>
          </w:tcPr>
          <w:p>
            <w:pPr>
              <w:keepNext/>
              <w:adjustRightInd w:val="0"/>
              <w:snapToGrid w:val="0"/>
              <w:spacing w:line="500" w:lineRule="exact"/>
              <w:jc w:val="center"/>
              <w:rPr>
                <w:rFonts w:hint="eastAsia"/>
                <w:color w:val="000000" w:themeColor="text1"/>
                <w:szCs w:val="21"/>
              </w:rPr>
            </w:pPr>
            <w:r>
              <w:rPr>
                <w:color w:val="000000" w:themeColor="text1"/>
                <w:szCs w:val="21"/>
              </w:rPr>
              <w:t>备注</w:t>
            </w:r>
          </w:p>
        </w:tc>
        <w:tc>
          <w:tcPr>
            <w:tcW w:w="7896" w:type="dxa"/>
            <w:gridSpan w:val="4"/>
            <w:vAlign w:val="center"/>
          </w:tcPr>
          <w:p>
            <w:pPr>
              <w:keepNext/>
              <w:adjustRightInd w:val="0"/>
              <w:snapToGrid w:val="0"/>
              <w:jc w:val="center"/>
              <w:rPr>
                <w:rFonts w:hint="eastAsia"/>
                <w:color w:val="000000" w:themeColor="text1"/>
                <w:szCs w:val="21"/>
              </w:rPr>
            </w:pPr>
            <w:r>
              <w:rPr>
                <w:rFonts w:hint="eastAsia" w:ascii="Times New Roman" w:hAnsi="Times New Roman"/>
                <w:color w:val="000000" w:themeColor="text1"/>
                <w:kern w:val="2"/>
                <w:sz w:val="21"/>
                <w:szCs w:val="21"/>
              </w:rPr>
              <w:t>间距起算点：通气管——中心线；储罐——罐外壁；建筑物——最凸出外缘；表中加粗的部分为标准值。</w:t>
            </w:r>
          </w:p>
        </w:tc>
      </w:tr>
    </w:tbl>
    <w:p>
      <w:pPr>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br w:type="page"/>
      </w:r>
    </w:p>
    <w:p>
      <w:pPr>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由上表检查结果可知，该项目甲醇储存、装卸设施与其厂外周边环境的防火间距符合</w:t>
      </w:r>
      <w:r>
        <w:rPr>
          <w:rFonts w:eastAsiaTheme="minorEastAsia"/>
          <w:snapToGrid w:val="0"/>
          <w:color w:val="000000" w:themeColor="text1"/>
          <w:kern w:val="0"/>
          <w:sz w:val="28"/>
          <w:szCs w:val="28"/>
          <w:lang w:val="zh-CN"/>
        </w:rPr>
        <w:t>《建筑设计防火规范（2018年版）》（GB50016-2014）</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《汽车加油加气加氢站技术标准》（GB50156-2021）的要求。</w:t>
      </w:r>
    </w:p>
    <w:p>
      <w:pPr>
        <w:spacing w:line="500" w:lineRule="exact"/>
        <w:ind w:firstLine="562" w:firstLineChars="200"/>
        <w:rPr>
          <w:rFonts w:eastAsiaTheme="minorEastAsia"/>
          <w:b/>
          <w:snapToGrid w:val="0"/>
          <w:color w:val="000000" w:themeColor="text1"/>
          <w:kern w:val="0"/>
          <w:sz w:val="28"/>
          <w:szCs w:val="28"/>
        </w:rPr>
      </w:pPr>
      <w:bookmarkStart w:id="1712" w:name="_Toc31065"/>
      <w:r>
        <w:rPr>
          <w:rFonts w:eastAsiaTheme="minorEastAsia"/>
          <w:b/>
          <w:snapToGrid w:val="0"/>
          <w:color w:val="000000" w:themeColor="text1"/>
          <w:kern w:val="0"/>
          <w:sz w:val="28"/>
          <w:szCs w:val="28"/>
        </w:rPr>
        <w:t>3</w:t>
      </w:r>
      <w:r>
        <w:rPr>
          <w:rFonts w:hint="eastAsia" w:eastAsiaTheme="minorEastAsia"/>
          <w:b/>
          <w:snapToGrid w:val="0"/>
          <w:color w:val="000000" w:themeColor="text1"/>
          <w:kern w:val="0"/>
          <w:sz w:val="28"/>
          <w:szCs w:val="28"/>
        </w:rPr>
        <w:t>.</w:t>
      </w:r>
      <w:r>
        <w:rPr>
          <w:rFonts w:eastAsiaTheme="minorEastAsia"/>
          <w:b/>
          <w:snapToGrid w:val="0"/>
          <w:color w:val="000000" w:themeColor="text1"/>
          <w:kern w:val="0"/>
          <w:sz w:val="28"/>
          <w:szCs w:val="28"/>
        </w:rPr>
        <w:t>外部防护距离分析评价</w:t>
      </w:r>
      <w:bookmarkEnd w:id="1712"/>
    </w:p>
    <w:p>
      <w:pPr>
        <w:tabs>
          <w:tab w:val="left" w:pos="980"/>
        </w:tabs>
        <w:autoSpaceDE w:val="0"/>
        <w:autoSpaceDN w:val="0"/>
        <w:adjustRightInd w:val="0"/>
        <w:spacing w:line="500" w:lineRule="exact"/>
        <w:ind w:firstLine="560" w:firstLineChars="200"/>
        <w:rPr>
          <w:color w:val="000000" w:themeColor="text1"/>
          <w:kern w:val="0"/>
          <w:sz w:val="28"/>
          <w:szCs w:val="28"/>
        </w:rPr>
      </w:pPr>
      <w:r>
        <w:rPr>
          <w:color w:val="000000" w:themeColor="text1"/>
          <w:kern w:val="0"/>
          <w:sz w:val="28"/>
          <w:szCs w:val="28"/>
        </w:rPr>
        <w:t>根据《危险化学品生产装置和储存设施外部安全防护距离确定方法》（GB</w:t>
      </w:r>
      <w:r>
        <w:rPr>
          <w:rFonts w:hint="eastAsia"/>
          <w:color w:val="000000" w:themeColor="text1"/>
          <w:kern w:val="0"/>
          <w:sz w:val="28"/>
          <w:szCs w:val="28"/>
        </w:rPr>
        <w:t>/</w:t>
      </w:r>
      <w:r>
        <w:rPr>
          <w:color w:val="000000" w:themeColor="text1"/>
          <w:kern w:val="0"/>
          <w:sz w:val="28"/>
          <w:szCs w:val="28"/>
        </w:rPr>
        <w:t>T 37243-2019）的规定，确定该项目外部安全防护距离流程如下图所示：</w:t>
      </w:r>
    </w:p>
    <w:p>
      <w:pPr>
        <w:jc w:val="center"/>
        <w:rPr>
          <w:color w:val="000000" w:themeColor="text1"/>
        </w:rPr>
      </w:pPr>
      <w:r>
        <w:rPr>
          <w:color w:val="000000" w:themeColor="text1"/>
        </w:rPr>
        <w:drawing>
          <wp:inline distT="0" distB="0" distL="0" distR="0">
            <wp:extent cx="5061585" cy="3823970"/>
            <wp:effectExtent l="0" t="0" r="5715" b="508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61585" cy="3823970"/>
                    </a:xfrm>
                    <a:prstGeom prst="rect">
                      <a:avLst/>
                    </a:prstGeom>
                    <a:noFill/>
                    <a:ln>
                      <a:noFill/>
                    </a:ln>
                  </pic:spPr>
                </pic:pic>
              </a:graphicData>
            </a:graphic>
          </wp:inline>
        </w:drawing>
      </w:r>
    </w:p>
    <w:p>
      <w:pPr>
        <w:spacing w:line="500" w:lineRule="exact"/>
        <w:ind w:firstLine="480" w:firstLineChars="200"/>
        <w:jc w:val="center"/>
        <w:rPr>
          <w:color w:val="000000" w:themeColor="text1"/>
          <w:sz w:val="24"/>
        </w:rPr>
      </w:pPr>
      <w:r>
        <w:rPr>
          <w:color w:val="000000" w:themeColor="text1"/>
          <w:sz w:val="24"/>
        </w:rPr>
        <w:t>图5-1外部防护距离确定流程图</w:t>
      </w:r>
    </w:p>
    <w:p>
      <w:pPr>
        <w:spacing w:line="500" w:lineRule="exact"/>
        <w:ind w:firstLine="560" w:firstLineChars="200"/>
        <w:rPr>
          <w:rFonts w:ascii="宋体" w:hAnsi="宋体" w:cs="宋体"/>
          <w:b/>
          <w:color w:val="000000" w:themeColor="text1"/>
          <w:kern w:val="0"/>
          <w:sz w:val="28"/>
          <w:szCs w:val="28"/>
        </w:rPr>
      </w:pPr>
      <w:bookmarkStart w:id="1713" w:name="_Toc32199"/>
      <w:bookmarkStart w:id="1714" w:name="_Toc16243"/>
      <w:bookmarkStart w:id="1715" w:name="_Toc21795"/>
      <w:bookmarkStart w:id="1716" w:name="_Toc16349"/>
      <w:bookmarkStart w:id="1717" w:name="_Toc18836"/>
      <w:bookmarkStart w:id="1718" w:name="_Toc22910"/>
      <w:bookmarkStart w:id="1719" w:name="_Toc6295"/>
      <w:bookmarkStart w:id="1720" w:name="_Toc605"/>
      <w:bookmarkStart w:id="1721" w:name="_Toc4873"/>
      <w:bookmarkStart w:id="1722" w:name="_Toc31239"/>
      <w:r>
        <w:rPr>
          <w:rFonts w:hint="eastAsia" w:ascii="宋体" w:hAnsi="宋体" w:cs="宋体"/>
          <w:color w:val="000000" w:themeColor="text1"/>
          <w:kern w:val="0"/>
          <w:sz w:val="28"/>
          <w:szCs w:val="28"/>
        </w:rPr>
        <w:t>由上述外部安全防护距离确定流程和方法，因该项目甲醇属于《危险化学品目录》中规定的危险化学品，未构成危险化学品重大危险源，所以其外部安全防护距离按相应标准、规范的防火间距要求确定，即该项目的外部安全防护距离按</w:t>
      </w:r>
      <w:r>
        <w:rPr>
          <w:rFonts w:hint="eastAsia" w:ascii="宋体" w:hAnsi="宋体" w:cs="宋体"/>
          <w:color w:val="000000" w:themeColor="text1"/>
          <w:sz w:val="28"/>
          <w:szCs w:val="28"/>
        </w:rPr>
        <w:t>《工业企业总平面设计规范》（GB50187-2012）、《建筑防火设计规范（2018）》（GB50016-2014）、</w:t>
      </w:r>
      <w:r>
        <w:rPr>
          <w:rFonts w:hint="eastAsia" w:ascii="宋体" w:hAnsi="宋体" w:cs="宋体"/>
          <w:snapToGrid w:val="0"/>
          <w:color w:val="000000" w:themeColor="text1"/>
          <w:kern w:val="0"/>
          <w:sz w:val="28"/>
          <w:szCs w:val="28"/>
        </w:rPr>
        <w:t>《汽车加油加气加氢站技术标准》（GB50156-2021）</w:t>
      </w:r>
      <w:r>
        <w:rPr>
          <w:rFonts w:hint="eastAsia" w:ascii="宋体" w:hAnsi="宋体" w:cs="宋体"/>
          <w:color w:val="000000" w:themeColor="text1"/>
          <w:kern w:val="0"/>
          <w:sz w:val="28"/>
          <w:szCs w:val="28"/>
        </w:rPr>
        <w:t>等标准、规范的要求确定。</w:t>
      </w:r>
    </w:p>
    <w:p>
      <w:pPr>
        <w:spacing w:line="500" w:lineRule="exact"/>
        <w:ind w:firstLine="560" w:firstLineChars="200"/>
        <w:rPr>
          <w:rFonts w:ascii="宋体" w:hAnsi="宋体" w:cs="宋体"/>
          <w:snapToGrid w:val="0"/>
          <w:color w:val="000000" w:themeColor="text1"/>
          <w:kern w:val="0"/>
          <w:sz w:val="28"/>
          <w:szCs w:val="28"/>
        </w:rPr>
      </w:pPr>
      <w:r>
        <w:rPr>
          <w:rFonts w:hint="eastAsia" w:ascii="宋体" w:hAnsi="宋体" w:cs="宋体"/>
          <w:color w:val="000000" w:themeColor="text1"/>
          <w:kern w:val="0"/>
          <w:sz w:val="28"/>
          <w:szCs w:val="28"/>
        </w:rPr>
        <w:t>根据本章5.3.1节第2条表5-4的检查结果可知，</w:t>
      </w:r>
      <w:r>
        <w:rPr>
          <w:rFonts w:hint="eastAsia" w:ascii="宋体" w:hAnsi="宋体" w:cs="宋体"/>
          <w:color w:val="000000" w:themeColor="text1"/>
          <w:sz w:val="28"/>
          <w:szCs w:val="28"/>
        </w:rPr>
        <w:t>该项目与周边建（构）筑</w:t>
      </w:r>
      <w:r>
        <w:rPr>
          <w:rFonts w:hint="eastAsia" w:ascii="宋体" w:hAnsi="宋体" w:cs="宋体"/>
          <w:bCs/>
          <w:color w:val="000000" w:themeColor="text1"/>
          <w:sz w:val="28"/>
          <w:szCs w:val="28"/>
        </w:rPr>
        <w:t>物的</w:t>
      </w:r>
      <w:r>
        <w:rPr>
          <w:rFonts w:hint="eastAsia" w:ascii="宋体" w:hAnsi="宋体" w:cs="宋体"/>
          <w:snapToGrid w:val="0"/>
          <w:color w:val="000000" w:themeColor="text1"/>
          <w:kern w:val="0"/>
          <w:sz w:val="28"/>
          <w:szCs w:val="28"/>
        </w:rPr>
        <w:t>防火间距符合《建筑设计防火规范（2018年版）》（GB50016-2014）、《汽车加油加气加氢站技术标准》（GB50156-2021）等标准、规范的要求，即</w:t>
      </w:r>
      <w:r>
        <w:rPr>
          <w:rFonts w:hint="eastAsia" w:ascii="宋体" w:hAnsi="宋体" w:cs="宋体"/>
          <w:color w:val="000000" w:themeColor="text1"/>
          <w:kern w:val="0"/>
          <w:sz w:val="28"/>
          <w:szCs w:val="28"/>
        </w:rPr>
        <w:t>该项目的外部安全防护距离符合要求</w:t>
      </w:r>
      <w:r>
        <w:rPr>
          <w:rFonts w:hint="eastAsia" w:ascii="宋体" w:hAnsi="宋体" w:cs="宋体"/>
          <w:bCs/>
          <w:color w:val="000000" w:themeColor="text1"/>
          <w:sz w:val="28"/>
          <w:szCs w:val="28"/>
        </w:rPr>
        <w:t>。</w:t>
      </w: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5.3.2总平面布置安全评价子单元</w:t>
      </w:r>
      <w:bookmarkEnd w:id="1713"/>
      <w:bookmarkEnd w:id="1714"/>
      <w:bookmarkEnd w:id="1715"/>
      <w:bookmarkEnd w:id="1716"/>
      <w:bookmarkEnd w:id="1717"/>
      <w:bookmarkEnd w:id="1718"/>
      <w:bookmarkEnd w:id="1719"/>
      <w:bookmarkEnd w:id="1720"/>
      <w:bookmarkEnd w:id="1721"/>
      <w:bookmarkEnd w:id="1722"/>
    </w:p>
    <w:p>
      <w:pPr>
        <w:spacing w:line="500" w:lineRule="exact"/>
        <w:ind w:firstLine="562" w:firstLineChars="200"/>
        <w:rPr>
          <w:rFonts w:eastAsiaTheme="minorEastAsia"/>
          <w:b/>
          <w:snapToGrid w:val="0"/>
          <w:color w:val="000000" w:themeColor="text1"/>
          <w:kern w:val="0"/>
          <w:sz w:val="28"/>
          <w:szCs w:val="28"/>
        </w:rPr>
      </w:pPr>
      <w:bookmarkStart w:id="1723" w:name="_Toc4930"/>
      <w:bookmarkStart w:id="1724" w:name="_Toc2778"/>
      <w:r>
        <w:rPr>
          <w:rFonts w:eastAsiaTheme="minorEastAsia"/>
          <w:b/>
          <w:snapToGrid w:val="0"/>
          <w:color w:val="000000" w:themeColor="text1"/>
          <w:kern w:val="0"/>
          <w:sz w:val="28"/>
          <w:szCs w:val="28"/>
        </w:rPr>
        <w:t>1</w:t>
      </w:r>
      <w:r>
        <w:rPr>
          <w:rFonts w:hint="eastAsia" w:eastAsiaTheme="minorEastAsia"/>
          <w:b/>
          <w:snapToGrid w:val="0"/>
          <w:color w:val="000000" w:themeColor="text1"/>
          <w:kern w:val="0"/>
          <w:sz w:val="28"/>
          <w:szCs w:val="28"/>
        </w:rPr>
        <w:t>.</w:t>
      </w:r>
      <w:r>
        <w:rPr>
          <w:rFonts w:eastAsiaTheme="minorEastAsia"/>
          <w:b/>
          <w:snapToGrid w:val="0"/>
          <w:color w:val="000000" w:themeColor="text1"/>
          <w:kern w:val="0"/>
          <w:sz w:val="28"/>
          <w:szCs w:val="28"/>
        </w:rPr>
        <w:t>总平面布置安全检查表</w:t>
      </w:r>
      <w:bookmarkEnd w:id="1723"/>
    </w:p>
    <w:p>
      <w:pPr>
        <w:adjustRightInd w:val="0"/>
        <w:snapToGrid w:val="0"/>
        <w:spacing w:line="500" w:lineRule="exact"/>
        <w:ind w:firstLine="840" w:firstLineChars="300"/>
        <w:rPr>
          <w:rFonts w:eastAsiaTheme="minorEastAsia"/>
          <w:color w:val="000000" w:themeColor="text1"/>
          <w:sz w:val="28"/>
          <w:szCs w:val="20"/>
        </w:rPr>
      </w:pPr>
      <w:r>
        <w:rPr>
          <w:rFonts w:eastAsiaTheme="minorEastAsia"/>
          <w:color w:val="000000" w:themeColor="text1"/>
          <w:kern w:val="0"/>
          <w:sz w:val="28"/>
          <w:szCs w:val="28"/>
        </w:rPr>
        <w:t>根据</w:t>
      </w:r>
      <w:r>
        <w:rPr>
          <w:rFonts w:eastAsiaTheme="minorEastAsia"/>
          <w:color w:val="000000" w:themeColor="text1"/>
          <w:sz w:val="28"/>
          <w:szCs w:val="28"/>
        </w:rPr>
        <w:t>《工业企业总平面设计规范》（GB50187-2012）、</w:t>
      </w:r>
      <w:r>
        <w:rPr>
          <w:rFonts w:eastAsiaTheme="minorEastAsia"/>
          <w:snapToGrid w:val="0"/>
          <w:color w:val="000000" w:themeColor="text1"/>
          <w:kern w:val="0"/>
          <w:sz w:val="28"/>
          <w:szCs w:val="28"/>
        </w:rPr>
        <w:t>《建筑设计防火规范</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2018版</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》（GB50016-2014）</w:t>
      </w:r>
      <w:r>
        <w:rPr>
          <w:rFonts w:hint="eastAsia" w:eastAsiaTheme="minorEastAsia"/>
          <w:color w:val="000000" w:themeColor="text1"/>
          <w:sz w:val="28"/>
          <w:szCs w:val="28"/>
        </w:rPr>
        <w:t>、</w:t>
      </w:r>
      <w:r>
        <w:rPr>
          <w:rFonts w:eastAsiaTheme="minorEastAsia"/>
          <w:color w:val="000000" w:themeColor="text1"/>
          <w:sz w:val="28"/>
        </w:rPr>
        <w:t>《汽车加油加气加氢站技术标准》（GB50156-2021）</w:t>
      </w:r>
      <w:r>
        <w:rPr>
          <w:rFonts w:eastAsiaTheme="minorEastAsia"/>
          <w:color w:val="000000" w:themeColor="text1"/>
          <w:sz w:val="28"/>
          <w:szCs w:val="28"/>
        </w:rPr>
        <w:t>等标</w:t>
      </w:r>
      <w:r>
        <w:rPr>
          <w:rFonts w:eastAsiaTheme="minorEastAsia"/>
          <w:color w:val="000000" w:themeColor="text1"/>
          <w:sz w:val="28"/>
          <w:szCs w:val="20"/>
        </w:rPr>
        <w:t>准、规范要求，对该项目总平面布置进行安全分析评价，具体情况如下表所示：</w:t>
      </w:r>
    </w:p>
    <w:p>
      <w:pPr>
        <w:spacing w:beforeLines="50"/>
        <w:jc w:val="center"/>
        <w:rPr>
          <w:rFonts w:eastAsiaTheme="minorEastAsia"/>
          <w:color w:val="000000" w:themeColor="text1"/>
          <w:kern w:val="0"/>
          <w:sz w:val="28"/>
          <w:szCs w:val="28"/>
        </w:rPr>
      </w:pPr>
      <w:r>
        <w:rPr>
          <w:rFonts w:eastAsiaTheme="minorEastAsia"/>
          <w:color w:val="000000" w:themeColor="text1"/>
          <w:sz w:val="24"/>
        </w:rPr>
        <w:t>表5-5 项目区总平面布置安全检查表</w:t>
      </w:r>
    </w:p>
    <w:tbl>
      <w:tblPr>
        <w:tblStyle w:val="52"/>
        <w:tblW w:w="94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3"/>
        <w:gridCol w:w="3392"/>
        <w:gridCol w:w="2078"/>
        <w:gridCol w:w="2698"/>
        <w:gridCol w:w="7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3"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rPr>
            </w:pPr>
            <w:r>
              <w:rPr>
                <w:b/>
                <w:color w:val="000000" w:themeColor="text1"/>
                <w:szCs w:val="21"/>
              </w:rPr>
              <w:t>序号</w:t>
            </w:r>
          </w:p>
        </w:tc>
        <w:tc>
          <w:tcPr>
            <w:tcW w:w="3392"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rPr>
            </w:pPr>
            <w:r>
              <w:rPr>
                <w:b/>
                <w:color w:val="000000" w:themeColor="text1"/>
                <w:szCs w:val="21"/>
              </w:rPr>
              <w:t>检查内容</w:t>
            </w:r>
          </w:p>
        </w:tc>
        <w:tc>
          <w:tcPr>
            <w:tcW w:w="207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rPr>
            </w:pPr>
            <w:r>
              <w:rPr>
                <w:b/>
                <w:color w:val="000000" w:themeColor="text1"/>
                <w:szCs w:val="21"/>
              </w:rPr>
              <w:t>标准依据</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rPr>
            </w:pPr>
            <w:r>
              <w:rPr>
                <w:b/>
                <w:color w:val="000000" w:themeColor="text1"/>
                <w:szCs w:val="21"/>
              </w:rPr>
              <w:t>检查记录</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rPr>
            </w:pPr>
            <w:r>
              <w:rPr>
                <w:b/>
                <w:color w:val="000000" w:themeColor="text1"/>
                <w:szCs w:val="21"/>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3" w:type="dxa"/>
            <w:tcBorders>
              <w:top w:val="single" w:color="auto" w:sz="4" w:space="0"/>
              <w:left w:val="single" w:color="auto" w:sz="4" w:space="0"/>
              <w:bottom w:val="single" w:color="auto" w:sz="4" w:space="0"/>
              <w:right w:val="single" w:color="auto" w:sz="4" w:space="0"/>
            </w:tcBorders>
            <w:vAlign w:val="center"/>
          </w:tcPr>
          <w:p>
            <w:pPr>
              <w:numPr>
                <w:ilvl w:val="0"/>
                <w:numId w:val="15"/>
              </w:numPr>
              <w:jc w:val="center"/>
              <w:rPr>
                <w:bCs/>
                <w:color w:val="000000" w:themeColor="text1"/>
                <w:szCs w:val="21"/>
              </w:rPr>
            </w:pPr>
          </w:p>
        </w:tc>
        <w:tc>
          <w:tcPr>
            <w:tcW w:w="3392" w:type="dxa"/>
            <w:tcBorders>
              <w:top w:val="single" w:color="auto" w:sz="4" w:space="0"/>
              <w:left w:val="single" w:color="auto" w:sz="4" w:space="0"/>
              <w:bottom w:val="single" w:color="auto" w:sz="4" w:space="0"/>
              <w:right w:val="single" w:color="auto" w:sz="4" w:space="0"/>
            </w:tcBorders>
            <w:vAlign w:val="center"/>
          </w:tcPr>
          <w:p>
            <w:pPr>
              <w:jc w:val="left"/>
              <w:rPr>
                <w:rStyle w:val="55"/>
                <w:b w:val="0"/>
                <w:color w:val="000000" w:themeColor="text1"/>
                <w:szCs w:val="21"/>
              </w:rPr>
            </w:pPr>
            <w:r>
              <w:rPr>
                <w:color w:val="000000" w:themeColor="text1"/>
                <w:szCs w:val="21"/>
              </w:rPr>
              <w:t>总平面布置，应在总体规划的基础上，根据工业企业的性质、规模、生产流程、交通运输、环境保护，以及防火、安全、卫生、节能、施工、检修、厂区发展等要求，结合场地自然条件，经技术经济比较后择优确定。</w:t>
            </w:r>
          </w:p>
        </w:tc>
        <w:tc>
          <w:tcPr>
            <w:tcW w:w="207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《工业企业总平面设计规范》（GB50187-2012）</w:t>
            </w:r>
          </w:p>
          <w:p>
            <w:pPr>
              <w:jc w:val="center"/>
              <w:rPr>
                <w:color w:val="000000" w:themeColor="text1"/>
                <w:szCs w:val="21"/>
              </w:rPr>
            </w:pPr>
            <w:r>
              <w:rPr>
                <w:color w:val="000000" w:themeColor="text1"/>
                <w:szCs w:val="21"/>
              </w:rPr>
              <w:t>第5.1.1条</w:t>
            </w:r>
          </w:p>
        </w:tc>
        <w:tc>
          <w:tcPr>
            <w:tcW w:w="2698" w:type="dxa"/>
            <w:tcBorders>
              <w:top w:val="single" w:color="auto" w:sz="4" w:space="0"/>
              <w:left w:val="single" w:color="auto" w:sz="4" w:space="0"/>
              <w:bottom w:val="single" w:color="auto" w:sz="4" w:space="0"/>
              <w:right w:val="single" w:color="auto" w:sz="4" w:space="0"/>
            </w:tcBorders>
            <w:vAlign w:val="center"/>
          </w:tcPr>
          <w:p>
            <w:pPr>
              <w:jc w:val="left"/>
              <w:rPr>
                <w:rStyle w:val="55"/>
                <w:b w:val="0"/>
                <w:color w:val="000000" w:themeColor="text1"/>
                <w:szCs w:val="21"/>
              </w:rPr>
            </w:pPr>
            <w:r>
              <w:rPr>
                <w:color w:val="000000" w:themeColor="text1"/>
                <w:szCs w:val="21"/>
              </w:rPr>
              <w:t>该项目由于场地限制，平面布置较为紧凑。</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3" w:type="dxa"/>
            <w:tcBorders>
              <w:top w:val="single" w:color="auto" w:sz="4" w:space="0"/>
              <w:left w:val="single" w:color="auto" w:sz="4" w:space="0"/>
              <w:bottom w:val="single" w:color="auto" w:sz="4" w:space="0"/>
              <w:right w:val="single" w:color="auto" w:sz="4" w:space="0"/>
            </w:tcBorders>
            <w:vAlign w:val="center"/>
          </w:tcPr>
          <w:p>
            <w:pPr>
              <w:numPr>
                <w:ilvl w:val="0"/>
                <w:numId w:val="15"/>
              </w:numPr>
              <w:jc w:val="center"/>
              <w:rPr>
                <w:bCs/>
                <w:color w:val="000000" w:themeColor="text1"/>
                <w:szCs w:val="21"/>
              </w:rPr>
            </w:pPr>
          </w:p>
        </w:tc>
        <w:tc>
          <w:tcPr>
            <w:tcW w:w="3392" w:type="dxa"/>
            <w:tcBorders>
              <w:top w:val="single" w:color="auto" w:sz="4" w:space="0"/>
              <w:left w:val="single" w:color="auto" w:sz="4" w:space="0"/>
              <w:bottom w:val="single" w:color="auto" w:sz="4" w:space="0"/>
              <w:right w:val="single" w:color="auto" w:sz="4" w:space="0"/>
            </w:tcBorders>
            <w:vAlign w:val="center"/>
          </w:tcPr>
          <w:p>
            <w:pPr>
              <w:jc w:val="left"/>
              <w:rPr>
                <w:rStyle w:val="55"/>
                <w:b w:val="0"/>
                <w:color w:val="000000" w:themeColor="text1"/>
                <w:szCs w:val="21"/>
              </w:rPr>
            </w:pPr>
            <w:r>
              <w:rPr>
                <w:color w:val="000000" w:themeColor="text1"/>
                <w:szCs w:val="21"/>
              </w:rPr>
              <w:t>工业企业的建筑物、构筑物之间及其与铁路、道路之间的防火间距，以及消防通道的设置，应执行现行国家《建筑设计防火规范[2018]版》（GB50016 -2014）等有关的规定。</w:t>
            </w:r>
          </w:p>
        </w:tc>
        <w:tc>
          <w:tcPr>
            <w:tcW w:w="207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《工业企业总平面设计规范》（GB50187-2012）</w:t>
            </w:r>
          </w:p>
          <w:p>
            <w:pPr>
              <w:jc w:val="center"/>
              <w:rPr>
                <w:color w:val="000000" w:themeColor="text1"/>
                <w:szCs w:val="21"/>
              </w:rPr>
            </w:pPr>
            <w:r>
              <w:rPr>
                <w:color w:val="000000" w:themeColor="text1"/>
                <w:szCs w:val="21"/>
              </w:rPr>
              <w:t>第5.1.10条</w:t>
            </w:r>
          </w:p>
        </w:tc>
        <w:tc>
          <w:tcPr>
            <w:tcW w:w="2698" w:type="dxa"/>
            <w:tcBorders>
              <w:top w:val="single" w:color="auto" w:sz="4" w:space="0"/>
              <w:left w:val="single" w:color="auto" w:sz="4" w:space="0"/>
              <w:bottom w:val="single" w:color="auto" w:sz="4" w:space="0"/>
              <w:right w:val="single" w:color="auto" w:sz="4" w:space="0"/>
            </w:tcBorders>
            <w:vAlign w:val="center"/>
          </w:tcPr>
          <w:p>
            <w:pPr>
              <w:jc w:val="left"/>
              <w:rPr>
                <w:rStyle w:val="55"/>
                <w:b w:val="0"/>
                <w:color w:val="000000" w:themeColor="text1"/>
                <w:szCs w:val="21"/>
              </w:rPr>
            </w:pPr>
            <w:r>
              <w:rPr>
                <w:color w:val="000000" w:themeColor="text1"/>
                <w:szCs w:val="21"/>
              </w:rPr>
              <w:t>该项目建（构）筑物之间及其与道路之间的防火间距，以及消防通道的设置符合有关的规定。</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3" w:type="dxa"/>
            <w:tcBorders>
              <w:top w:val="single" w:color="auto" w:sz="4" w:space="0"/>
              <w:left w:val="single" w:color="auto" w:sz="4" w:space="0"/>
              <w:bottom w:val="single" w:color="auto" w:sz="4" w:space="0"/>
              <w:right w:val="single" w:color="auto" w:sz="4" w:space="0"/>
            </w:tcBorders>
            <w:vAlign w:val="center"/>
          </w:tcPr>
          <w:p>
            <w:pPr>
              <w:numPr>
                <w:ilvl w:val="0"/>
                <w:numId w:val="15"/>
              </w:numPr>
              <w:jc w:val="center"/>
              <w:rPr>
                <w:bCs/>
                <w:color w:val="000000" w:themeColor="text1"/>
                <w:szCs w:val="21"/>
              </w:rPr>
            </w:pPr>
          </w:p>
        </w:tc>
        <w:tc>
          <w:tcPr>
            <w:tcW w:w="3392" w:type="dxa"/>
            <w:tcBorders>
              <w:top w:val="single" w:color="auto" w:sz="4" w:space="0"/>
              <w:left w:val="single" w:color="auto" w:sz="4" w:space="0"/>
              <w:bottom w:val="single" w:color="auto" w:sz="4" w:space="0"/>
              <w:right w:val="single" w:color="auto" w:sz="4" w:space="0"/>
            </w:tcBorders>
            <w:vAlign w:val="center"/>
          </w:tcPr>
          <w:p>
            <w:pPr>
              <w:jc w:val="left"/>
              <w:rPr>
                <w:color w:val="000000" w:themeColor="text1"/>
                <w:szCs w:val="21"/>
              </w:rPr>
            </w:pPr>
            <w:r>
              <w:rPr>
                <w:rStyle w:val="55"/>
                <w:b w:val="0"/>
                <w:color w:val="000000" w:themeColor="text1"/>
                <w:szCs w:val="21"/>
              </w:rPr>
              <w:t>员工宿舍严禁设置在厂房内。</w:t>
            </w:r>
          </w:p>
        </w:tc>
        <w:tc>
          <w:tcPr>
            <w:tcW w:w="207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rPr>
            </w:pPr>
            <w:r>
              <w:rPr>
                <w:color w:val="000000" w:themeColor="text1"/>
                <w:szCs w:val="21"/>
              </w:rPr>
              <w:t>《建筑设计防火规范[2018版]》（GB50016-2014）</w:t>
            </w:r>
          </w:p>
          <w:p>
            <w:pPr>
              <w:adjustRightInd w:val="0"/>
              <w:snapToGrid w:val="0"/>
              <w:jc w:val="center"/>
              <w:rPr>
                <w:color w:val="000000" w:themeColor="text1"/>
                <w:szCs w:val="21"/>
              </w:rPr>
            </w:pPr>
            <w:r>
              <w:rPr>
                <w:color w:val="000000" w:themeColor="text1"/>
                <w:szCs w:val="21"/>
              </w:rPr>
              <w:t>第3.3.5条</w:t>
            </w:r>
          </w:p>
        </w:tc>
        <w:tc>
          <w:tcPr>
            <w:tcW w:w="2698" w:type="dxa"/>
            <w:tcBorders>
              <w:top w:val="single" w:color="auto" w:sz="4" w:space="0"/>
              <w:left w:val="single" w:color="auto" w:sz="4" w:space="0"/>
              <w:bottom w:val="single" w:color="auto" w:sz="4" w:space="0"/>
              <w:right w:val="single" w:color="auto" w:sz="4" w:space="0"/>
            </w:tcBorders>
            <w:vAlign w:val="center"/>
          </w:tcPr>
          <w:p>
            <w:pPr>
              <w:jc w:val="left"/>
              <w:rPr>
                <w:color w:val="000000" w:themeColor="text1"/>
                <w:szCs w:val="21"/>
              </w:rPr>
            </w:pPr>
            <w:r>
              <w:rPr>
                <w:color w:val="000000" w:themeColor="text1"/>
                <w:szCs w:val="21"/>
              </w:rPr>
              <w:t>该项目生产区和办公生活区分开设置。</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3" w:type="dxa"/>
            <w:tcBorders>
              <w:left w:val="single" w:color="auto" w:sz="4" w:space="0"/>
              <w:bottom w:val="single" w:color="auto" w:sz="4" w:space="0"/>
              <w:right w:val="single" w:color="auto" w:sz="4" w:space="0"/>
            </w:tcBorders>
            <w:vAlign w:val="center"/>
          </w:tcPr>
          <w:p>
            <w:pPr>
              <w:numPr>
                <w:ilvl w:val="0"/>
                <w:numId w:val="15"/>
              </w:numPr>
              <w:jc w:val="center"/>
              <w:rPr>
                <w:bCs/>
                <w:color w:val="000000" w:themeColor="text1"/>
                <w:szCs w:val="21"/>
              </w:rPr>
            </w:pPr>
          </w:p>
        </w:tc>
        <w:tc>
          <w:tcPr>
            <w:tcW w:w="3392"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加油加气作业区内，不得有“明火地点”或“散发火花地点”。</w:t>
            </w:r>
          </w:p>
        </w:tc>
        <w:tc>
          <w:tcPr>
            <w:tcW w:w="2078" w:type="dxa"/>
            <w:tcBorders>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《汽车加油加气加氢站技术标准》（GB50156-2021）第5.0.5条</w:t>
            </w:r>
          </w:p>
        </w:tc>
        <w:tc>
          <w:tcPr>
            <w:tcW w:w="2698"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themeColor="text1"/>
                <w:szCs w:val="21"/>
              </w:rPr>
            </w:pPr>
            <w:r>
              <w:rPr>
                <w:color w:val="000000" w:themeColor="text1"/>
                <w:szCs w:val="21"/>
              </w:rPr>
              <w:t>该项目作业区内，无“明火地点”或“散发火花地点”。</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3" w:type="dxa"/>
            <w:tcBorders>
              <w:left w:val="single" w:color="auto" w:sz="4" w:space="0"/>
              <w:bottom w:val="single" w:color="auto" w:sz="4" w:space="0"/>
              <w:right w:val="single" w:color="auto" w:sz="4" w:space="0"/>
            </w:tcBorders>
            <w:vAlign w:val="center"/>
          </w:tcPr>
          <w:p>
            <w:pPr>
              <w:numPr>
                <w:ilvl w:val="0"/>
                <w:numId w:val="15"/>
              </w:numPr>
              <w:jc w:val="center"/>
              <w:rPr>
                <w:bCs/>
                <w:color w:val="000000" w:themeColor="text1"/>
                <w:szCs w:val="21"/>
              </w:rPr>
            </w:pPr>
          </w:p>
        </w:tc>
        <w:tc>
          <w:tcPr>
            <w:tcW w:w="3392"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加油站的变配电间或室外变压器应布置在爆炸危险区域之外，且与爆炸危险区域边界线的距离不应小于3m。</w:t>
            </w:r>
          </w:p>
        </w:tc>
        <w:tc>
          <w:tcPr>
            <w:tcW w:w="2078" w:type="dxa"/>
            <w:tcBorders>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《汽车加油加气加氢站技术标准》（GB50156-2021）第5.0.8条</w:t>
            </w:r>
          </w:p>
        </w:tc>
        <w:tc>
          <w:tcPr>
            <w:tcW w:w="2698" w:type="dxa"/>
            <w:tcBorders>
              <w:top w:val="single" w:color="auto" w:sz="4" w:space="0"/>
              <w:left w:val="single" w:color="auto" w:sz="4" w:space="0"/>
              <w:bottom w:val="single" w:color="auto" w:sz="4" w:space="0"/>
              <w:right w:val="single" w:color="auto" w:sz="4" w:space="0"/>
            </w:tcBorders>
            <w:vAlign w:val="center"/>
          </w:tcPr>
          <w:p>
            <w:pPr>
              <w:adjustRightInd w:val="0"/>
              <w:snapToGrid w:val="0"/>
              <w:rPr>
                <w:snapToGrid w:val="0"/>
                <w:color w:val="000000" w:themeColor="text1"/>
                <w:kern w:val="0"/>
                <w:szCs w:val="21"/>
              </w:rPr>
            </w:pPr>
            <w:r>
              <w:rPr>
                <w:color w:val="000000" w:themeColor="text1"/>
                <w:szCs w:val="21"/>
              </w:rPr>
              <w:t>该项目的配电箱布置在爆炸危险区域之外。</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3" w:type="dxa"/>
            <w:tcBorders>
              <w:left w:val="single" w:color="auto" w:sz="4" w:space="0"/>
              <w:bottom w:val="single" w:color="auto" w:sz="4" w:space="0"/>
              <w:right w:val="single" w:color="auto" w:sz="4" w:space="0"/>
            </w:tcBorders>
            <w:vAlign w:val="center"/>
          </w:tcPr>
          <w:p>
            <w:pPr>
              <w:numPr>
                <w:ilvl w:val="0"/>
                <w:numId w:val="15"/>
              </w:numPr>
              <w:jc w:val="center"/>
              <w:rPr>
                <w:bCs/>
                <w:color w:val="000000" w:themeColor="text1"/>
                <w:szCs w:val="21"/>
              </w:rPr>
            </w:pPr>
          </w:p>
        </w:tc>
        <w:tc>
          <w:tcPr>
            <w:tcW w:w="3392"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加油站内设置的经营性餐饮、汽车服务等非站房所属建筑物或设施，不应布置在加油作业区内，其与站内可燃液体或可燃气体设备的防火间距，应符合本规范第4.0.4～4.0.9条有关三类保护物的规定。经营性餐饮、汽车服务等设施内设置明火设备时，则应视为“明火地点”或“散发火花地点”。其中，对加油站内设置的燃煤设备不得按设置有油气回收系统折减距离。</w:t>
            </w:r>
          </w:p>
        </w:tc>
        <w:tc>
          <w:tcPr>
            <w:tcW w:w="2078" w:type="dxa"/>
            <w:tcBorders>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《汽车加油加气加氢站技术标准》（GB50156-2021）第5.0.10条</w:t>
            </w:r>
          </w:p>
        </w:tc>
        <w:tc>
          <w:tcPr>
            <w:tcW w:w="2698"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themeColor="text1"/>
                <w:szCs w:val="21"/>
              </w:rPr>
            </w:pPr>
            <w:r>
              <w:rPr>
                <w:color w:val="000000" w:themeColor="text1"/>
                <w:szCs w:val="21"/>
              </w:rPr>
              <w:t>该项目内未设置经营性餐饮、汽车服务等建筑物或设施。</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不涉及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3" w:type="dxa"/>
            <w:tcBorders>
              <w:left w:val="single" w:color="auto" w:sz="4" w:space="0"/>
              <w:bottom w:val="single" w:color="auto" w:sz="4" w:space="0"/>
              <w:right w:val="single" w:color="auto" w:sz="4" w:space="0"/>
            </w:tcBorders>
            <w:vAlign w:val="center"/>
          </w:tcPr>
          <w:p>
            <w:pPr>
              <w:numPr>
                <w:ilvl w:val="0"/>
                <w:numId w:val="15"/>
              </w:numPr>
              <w:jc w:val="center"/>
              <w:rPr>
                <w:bCs/>
                <w:color w:val="000000" w:themeColor="text1"/>
                <w:szCs w:val="21"/>
              </w:rPr>
            </w:pPr>
          </w:p>
        </w:tc>
        <w:tc>
          <w:tcPr>
            <w:tcW w:w="3392"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加油站内的爆炸危险区域，不应超出站区围墙和可用地界线。</w:t>
            </w:r>
          </w:p>
        </w:tc>
        <w:tc>
          <w:tcPr>
            <w:tcW w:w="2078" w:type="dxa"/>
            <w:tcBorders>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《汽车加油加气加氢站技术标准》（GB50156-2021）第5.0.11条</w:t>
            </w:r>
          </w:p>
        </w:tc>
        <w:tc>
          <w:tcPr>
            <w:tcW w:w="2698"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themeColor="text1"/>
                <w:szCs w:val="21"/>
              </w:rPr>
            </w:pPr>
            <w:r>
              <w:rPr>
                <w:color w:val="000000" w:themeColor="text1"/>
                <w:szCs w:val="21"/>
              </w:rPr>
              <w:t>该项目的爆炸危险区域未超出可用地界。</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3" w:type="dxa"/>
            <w:tcBorders>
              <w:top w:val="single" w:color="auto" w:sz="4" w:space="0"/>
              <w:left w:val="single" w:color="auto" w:sz="4" w:space="0"/>
              <w:bottom w:val="single" w:color="auto" w:sz="4" w:space="0"/>
              <w:right w:val="single" w:color="auto" w:sz="4" w:space="0"/>
            </w:tcBorders>
            <w:vAlign w:val="center"/>
          </w:tcPr>
          <w:p>
            <w:pPr>
              <w:numPr>
                <w:ilvl w:val="0"/>
                <w:numId w:val="15"/>
              </w:numPr>
              <w:jc w:val="center"/>
              <w:rPr>
                <w:color w:val="000000" w:themeColor="text1"/>
                <w:szCs w:val="21"/>
              </w:rPr>
            </w:pPr>
          </w:p>
        </w:tc>
        <w:tc>
          <w:tcPr>
            <w:tcW w:w="3392" w:type="dxa"/>
            <w:tcBorders>
              <w:top w:val="single" w:color="auto" w:sz="4" w:space="0"/>
              <w:left w:val="single" w:color="auto" w:sz="4" w:space="0"/>
              <w:bottom w:val="single" w:color="auto" w:sz="4" w:space="0"/>
              <w:right w:val="single" w:color="auto" w:sz="4" w:space="0"/>
            </w:tcBorders>
            <w:vAlign w:val="center"/>
          </w:tcPr>
          <w:p>
            <w:pPr>
              <w:rPr>
                <w:b/>
                <w:color w:val="000000" w:themeColor="text1"/>
                <w:szCs w:val="21"/>
              </w:rPr>
            </w:pPr>
            <w:r>
              <w:rPr>
                <w:color w:val="000000" w:themeColor="text1"/>
                <w:szCs w:val="21"/>
              </w:rPr>
              <w:t>汽车加油加气加氢站的工艺设备与站外建(构) 筑物之间，宜设置不燃烧体实体围墙，围墙高度相对于站内和站外地坪均不宜低于 2. Zm 。 当汽车加油加气加氢站的工艺设备与站外建(构) 筑物之间的距离大于本标准表 4. 0. 4一表 4. 0. 8 中安全间距的1. 5 倍，且大于2 5 m 时，可设置非实体围墙。 面向车辆人口和出口道路的一侧可设非实体围墙或不设围墙。 与站 区限毗</w:t>
            </w:r>
            <w:r>
              <w:rPr>
                <w:color w:val="000000" w:themeColor="text1"/>
                <w:szCs w:val="21"/>
              </w:rPr>
              <w:br w:type="textWrapping"/>
            </w:r>
            <w:r>
              <w:rPr>
                <w:color w:val="000000" w:themeColor="text1"/>
                <w:szCs w:val="21"/>
              </w:rPr>
              <w:t>邻的一、二级耐火等级的站外建(构)筑物，其面向加油加气加氢站</w:t>
            </w:r>
            <w:r>
              <w:rPr>
                <w:color w:val="000000" w:themeColor="text1"/>
                <w:szCs w:val="21"/>
              </w:rPr>
              <w:br w:type="textWrapping"/>
            </w:r>
            <w:r>
              <w:rPr>
                <w:color w:val="000000" w:themeColor="text1"/>
                <w:szCs w:val="21"/>
              </w:rPr>
              <w:t>侧无门、窗、孔洞的外墙，可视为站区实体围墙的一部分，但站内工</w:t>
            </w:r>
            <w:r>
              <w:rPr>
                <w:color w:val="000000" w:themeColor="text1"/>
                <w:szCs w:val="21"/>
              </w:rPr>
              <w:br w:type="textWrapping"/>
            </w:r>
            <w:r>
              <w:rPr>
                <w:color w:val="000000" w:themeColor="text1"/>
                <w:szCs w:val="21"/>
              </w:rPr>
              <w:t xml:space="preserve">艺设备与其的安全距离应符合本标准表4.0.4一表4.0.8的相关规定。 </w:t>
            </w:r>
          </w:p>
        </w:tc>
        <w:tc>
          <w:tcPr>
            <w:tcW w:w="207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《汽车加油加气加氢站技术标准》（GB50156-2021）第5.0.12条</w:t>
            </w:r>
          </w:p>
        </w:tc>
        <w:tc>
          <w:tcPr>
            <w:tcW w:w="2698" w:type="dxa"/>
            <w:tcBorders>
              <w:top w:val="single" w:color="auto" w:sz="4" w:space="0"/>
              <w:left w:val="single" w:color="auto" w:sz="4" w:space="0"/>
              <w:bottom w:val="single" w:color="auto" w:sz="4" w:space="0"/>
              <w:right w:val="single" w:color="auto" w:sz="4" w:space="0"/>
            </w:tcBorders>
            <w:vAlign w:val="center"/>
          </w:tcPr>
          <w:p>
            <w:pPr>
              <w:rPr>
                <w:snapToGrid w:val="0"/>
                <w:color w:val="000000" w:themeColor="text1"/>
                <w:kern w:val="0"/>
                <w:szCs w:val="21"/>
              </w:rPr>
            </w:pPr>
            <w:r>
              <w:rPr>
                <w:color w:val="000000" w:themeColor="text1"/>
                <w:szCs w:val="21"/>
              </w:rPr>
              <w:t>该项目周边均设置了2.2m高的围墙。</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3" w:type="dxa"/>
            <w:tcBorders>
              <w:top w:val="single" w:color="auto" w:sz="4" w:space="0"/>
              <w:left w:val="single" w:color="auto" w:sz="4" w:space="0"/>
              <w:bottom w:val="single" w:color="auto" w:sz="4" w:space="0"/>
              <w:right w:val="single" w:color="auto" w:sz="4" w:space="0"/>
            </w:tcBorders>
            <w:vAlign w:val="center"/>
          </w:tcPr>
          <w:p>
            <w:pPr>
              <w:numPr>
                <w:ilvl w:val="0"/>
                <w:numId w:val="15"/>
              </w:numPr>
              <w:jc w:val="center"/>
              <w:rPr>
                <w:color w:val="000000" w:themeColor="text1"/>
                <w:szCs w:val="21"/>
              </w:rPr>
            </w:pPr>
          </w:p>
        </w:tc>
        <w:tc>
          <w:tcPr>
            <w:tcW w:w="3392"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 xml:space="preserve">加油加气站站内设施的防火间距不应小于表 5.0.13-1和表 5.0.13一2的规定。 </w:t>
            </w:r>
          </w:p>
        </w:tc>
        <w:tc>
          <w:tcPr>
            <w:tcW w:w="207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《汽车加油加气加氢站技术标准》（GB50156-2021）第5.0.13条</w:t>
            </w:r>
          </w:p>
        </w:tc>
        <w:tc>
          <w:tcPr>
            <w:tcW w:w="2698"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themeColor="text1"/>
                <w:szCs w:val="21"/>
              </w:rPr>
            </w:pPr>
            <w:r>
              <w:rPr>
                <w:bCs/>
                <w:color w:val="000000" w:themeColor="text1"/>
                <w:szCs w:val="21"/>
              </w:rPr>
              <w:t>该项目厂内设施之间的防火距离均符合要求。</w:t>
            </w:r>
          </w:p>
        </w:tc>
        <w:tc>
          <w:tcPr>
            <w:tcW w:w="77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bl>
    <w:p>
      <w:pPr>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由上表检查结果可知，该项目总平面布置符合《工业企业总平面设计规范》（GB50187-2012）</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《建筑设计防火规范</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2018版</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》（GB50016-2014）、《汽车加油加气加氢站技术标准》（GB50156-2021）等标准、规范要求。</w:t>
      </w:r>
    </w:p>
    <w:bookmarkEnd w:id="1724"/>
    <w:p>
      <w:pPr>
        <w:spacing w:line="500" w:lineRule="exact"/>
        <w:ind w:firstLine="562" w:firstLineChars="200"/>
        <w:rPr>
          <w:rFonts w:eastAsiaTheme="minorEastAsia"/>
          <w:b/>
          <w:snapToGrid w:val="0"/>
          <w:color w:val="000000" w:themeColor="text1"/>
          <w:kern w:val="0"/>
          <w:sz w:val="28"/>
          <w:szCs w:val="28"/>
        </w:rPr>
      </w:pPr>
      <w:r>
        <w:rPr>
          <w:rFonts w:eastAsiaTheme="minorEastAsia"/>
          <w:b/>
          <w:snapToGrid w:val="0"/>
          <w:color w:val="000000" w:themeColor="text1"/>
          <w:kern w:val="0"/>
          <w:sz w:val="28"/>
          <w:szCs w:val="28"/>
        </w:rPr>
        <w:t>2</w:t>
      </w:r>
      <w:r>
        <w:rPr>
          <w:rFonts w:hint="eastAsia" w:eastAsiaTheme="minorEastAsia"/>
          <w:b/>
          <w:snapToGrid w:val="0"/>
          <w:color w:val="000000" w:themeColor="text1"/>
          <w:kern w:val="0"/>
          <w:sz w:val="28"/>
          <w:szCs w:val="28"/>
        </w:rPr>
        <w:t>.</w:t>
      </w:r>
      <w:r>
        <w:rPr>
          <w:rFonts w:eastAsiaTheme="minorEastAsia"/>
          <w:b/>
          <w:snapToGrid w:val="0"/>
          <w:color w:val="000000" w:themeColor="text1"/>
          <w:kern w:val="0"/>
          <w:sz w:val="28"/>
          <w:szCs w:val="28"/>
        </w:rPr>
        <w:t>甲醇储存、装卸系统设备、建（构）筑物的防火间距安全检查</w:t>
      </w:r>
    </w:p>
    <w:p>
      <w:pPr>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根据《汽车加油加气加氢站技术标准》（GB50156-2021）</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《建筑设计防火规范</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2018版</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》（GB50016-2014）</w:t>
      </w:r>
      <w:r>
        <w:rPr>
          <w:rFonts w:hint="eastAsia" w:eastAsiaTheme="minorEastAsia"/>
          <w:snapToGrid w:val="0"/>
          <w:color w:val="000000" w:themeColor="text1"/>
          <w:kern w:val="0"/>
          <w:sz w:val="28"/>
          <w:szCs w:val="28"/>
        </w:rPr>
        <w:t>等</w:t>
      </w:r>
      <w:r>
        <w:rPr>
          <w:rFonts w:eastAsiaTheme="minorEastAsia"/>
          <w:snapToGrid w:val="0"/>
          <w:color w:val="000000" w:themeColor="text1"/>
          <w:kern w:val="0"/>
          <w:sz w:val="28"/>
          <w:szCs w:val="28"/>
        </w:rPr>
        <w:t>的要求对该项目甲醇储存、装卸设施等之间的防火间距进行安全检查，具体情况如下表所示：</w:t>
      </w:r>
    </w:p>
    <w:p>
      <w:pPr>
        <w:spacing w:line="500" w:lineRule="exact"/>
        <w:ind w:firstLine="480" w:firstLineChars="200"/>
        <w:jc w:val="center"/>
        <w:rPr>
          <w:rFonts w:eastAsiaTheme="minorEastAsia"/>
          <w:color w:val="000000" w:themeColor="text1"/>
          <w:sz w:val="24"/>
        </w:rPr>
      </w:pPr>
      <w:r>
        <w:rPr>
          <w:rFonts w:eastAsiaTheme="minorEastAsia"/>
          <w:color w:val="000000" w:themeColor="text1"/>
          <w:sz w:val="24"/>
        </w:rPr>
        <w:t>表5-6 甲醇储存、装卸设施等之间的防火间距（单位：m）检查表</w:t>
      </w:r>
    </w:p>
    <w:tbl>
      <w:tblPr>
        <w:tblStyle w:val="52"/>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950"/>
        <w:gridCol w:w="950"/>
        <w:gridCol w:w="2100"/>
        <w:gridCol w:w="883"/>
        <w:gridCol w:w="917"/>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Merge w:val="restart"/>
            <w:vAlign w:val="center"/>
          </w:tcPr>
          <w:p>
            <w:pPr>
              <w:autoSpaceDE w:val="0"/>
              <w:autoSpaceDN w:val="0"/>
              <w:adjustRightInd w:val="0"/>
              <w:jc w:val="center"/>
              <w:rPr>
                <w:color w:val="000000" w:themeColor="text1"/>
                <w:szCs w:val="21"/>
              </w:rPr>
            </w:pPr>
            <w:r>
              <w:rPr>
                <w:color w:val="000000" w:themeColor="text1"/>
                <w:szCs w:val="21"/>
              </w:rPr>
              <w:t>建构筑物</w:t>
            </w:r>
          </w:p>
        </w:tc>
        <w:tc>
          <w:tcPr>
            <w:tcW w:w="4000" w:type="dxa"/>
            <w:gridSpan w:val="3"/>
            <w:vAlign w:val="center"/>
          </w:tcPr>
          <w:p>
            <w:pPr>
              <w:autoSpaceDE w:val="0"/>
              <w:autoSpaceDN w:val="0"/>
              <w:adjustRightInd w:val="0"/>
              <w:jc w:val="center"/>
              <w:rPr>
                <w:color w:val="000000" w:themeColor="text1"/>
                <w:szCs w:val="21"/>
              </w:rPr>
            </w:pPr>
            <w:r>
              <w:rPr>
                <w:color w:val="000000" w:themeColor="text1"/>
                <w:szCs w:val="21"/>
              </w:rPr>
              <w:t>甲醇储罐</w:t>
            </w:r>
          </w:p>
        </w:tc>
        <w:tc>
          <w:tcPr>
            <w:tcW w:w="3970" w:type="dxa"/>
            <w:gridSpan w:val="3"/>
            <w:vAlign w:val="center"/>
          </w:tcPr>
          <w:p>
            <w:pPr>
              <w:autoSpaceDE w:val="0"/>
              <w:autoSpaceDN w:val="0"/>
              <w:adjustRightInd w:val="0"/>
              <w:jc w:val="center"/>
              <w:rPr>
                <w:color w:val="000000" w:themeColor="text1"/>
                <w:szCs w:val="21"/>
              </w:rPr>
            </w:pPr>
            <w:r>
              <w:rPr>
                <w:rFonts w:hint="eastAsia"/>
                <w:color w:val="000000" w:themeColor="text1"/>
                <w:szCs w:val="21"/>
                <w:lang w:val="en-US" w:eastAsia="zh-CN"/>
              </w:rPr>
              <w:t>加注机（</w:t>
            </w:r>
            <w:r>
              <w:rPr>
                <w:color w:val="000000" w:themeColor="text1"/>
                <w:szCs w:val="21"/>
              </w:rPr>
              <w:t>甲醇通气口</w:t>
            </w:r>
            <w:r>
              <w:rPr>
                <w:rFonts w:hint="eastAsia"/>
                <w:color w:val="000000" w:themeColor="text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Merge w:val="continue"/>
            <w:vAlign w:val="center"/>
          </w:tcPr>
          <w:p>
            <w:pPr>
              <w:autoSpaceDE w:val="0"/>
              <w:autoSpaceDN w:val="0"/>
              <w:adjustRightInd w:val="0"/>
              <w:jc w:val="center"/>
              <w:rPr>
                <w:color w:val="000000" w:themeColor="text1"/>
                <w:szCs w:val="21"/>
              </w:rPr>
            </w:pPr>
          </w:p>
        </w:tc>
        <w:tc>
          <w:tcPr>
            <w:tcW w:w="950" w:type="dxa"/>
            <w:vAlign w:val="center"/>
          </w:tcPr>
          <w:p>
            <w:pPr>
              <w:autoSpaceDE w:val="0"/>
              <w:autoSpaceDN w:val="0"/>
              <w:adjustRightInd w:val="0"/>
              <w:jc w:val="center"/>
              <w:rPr>
                <w:color w:val="000000" w:themeColor="text1"/>
                <w:szCs w:val="21"/>
              </w:rPr>
            </w:pPr>
            <w:r>
              <w:rPr>
                <w:color w:val="000000" w:themeColor="text1"/>
                <w:szCs w:val="21"/>
              </w:rPr>
              <w:t>实测值</w:t>
            </w:r>
          </w:p>
        </w:tc>
        <w:tc>
          <w:tcPr>
            <w:tcW w:w="950" w:type="dxa"/>
            <w:vAlign w:val="center"/>
          </w:tcPr>
          <w:p>
            <w:pPr>
              <w:autoSpaceDE w:val="0"/>
              <w:autoSpaceDN w:val="0"/>
              <w:adjustRightInd w:val="0"/>
              <w:jc w:val="center"/>
              <w:rPr>
                <w:b/>
                <w:bCs/>
                <w:color w:val="000000" w:themeColor="text1"/>
                <w:szCs w:val="21"/>
              </w:rPr>
            </w:pPr>
            <w:r>
              <w:rPr>
                <w:b/>
                <w:bCs/>
                <w:color w:val="000000" w:themeColor="text1"/>
                <w:szCs w:val="21"/>
              </w:rPr>
              <w:t>标准值</w:t>
            </w:r>
          </w:p>
        </w:tc>
        <w:tc>
          <w:tcPr>
            <w:tcW w:w="2100" w:type="dxa"/>
            <w:vAlign w:val="center"/>
          </w:tcPr>
          <w:p>
            <w:pPr>
              <w:autoSpaceDE w:val="0"/>
              <w:autoSpaceDN w:val="0"/>
              <w:adjustRightInd w:val="0"/>
              <w:jc w:val="center"/>
              <w:rPr>
                <w:color w:val="000000" w:themeColor="text1"/>
                <w:szCs w:val="21"/>
              </w:rPr>
            </w:pPr>
            <w:r>
              <w:rPr>
                <w:rFonts w:hint="eastAsia"/>
                <w:color w:val="000000" w:themeColor="text1"/>
                <w:szCs w:val="21"/>
              </w:rPr>
              <w:t>依据标准</w:t>
            </w:r>
          </w:p>
        </w:tc>
        <w:tc>
          <w:tcPr>
            <w:tcW w:w="883" w:type="dxa"/>
            <w:vAlign w:val="center"/>
          </w:tcPr>
          <w:p>
            <w:pPr>
              <w:autoSpaceDE w:val="0"/>
              <w:autoSpaceDN w:val="0"/>
              <w:adjustRightInd w:val="0"/>
              <w:jc w:val="center"/>
              <w:rPr>
                <w:color w:val="000000" w:themeColor="text1"/>
                <w:szCs w:val="21"/>
              </w:rPr>
            </w:pPr>
            <w:r>
              <w:rPr>
                <w:color w:val="000000" w:themeColor="text1"/>
                <w:szCs w:val="21"/>
              </w:rPr>
              <w:t>实测值</w:t>
            </w:r>
          </w:p>
        </w:tc>
        <w:tc>
          <w:tcPr>
            <w:tcW w:w="917" w:type="dxa"/>
            <w:vAlign w:val="center"/>
          </w:tcPr>
          <w:p>
            <w:pPr>
              <w:autoSpaceDE w:val="0"/>
              <w:autoSpaceDN w:val="0"/>
              <w:adjustRightInd w:val="0"/>
              <w:jc w:val="center"/>
              <w:rPr>
                <w:b/>
                <w:bCs/>
                <w:color w:val="000000" w:themeColor="text1"/>
                <w:szCs w:val="21"/>
              </w:rPr>
            </w:pPr>
            <w:r>
              <w:rPr>
                <w:b/>
                <w:bCs/>
                <w:color w:val="000000" w:themeColor="text1"/>
                <w:szCs w:val="21"/>
              </w:rPr>
              <w:t>标准值</w:t>
            </w:r>
          </w:p>
        </w:tc>
        <w:tc>
          <w:tcPr>
            <w:tcW w:w="2170" w:type="dxa"/>
            <w:vAlign w:val="center"/>
          </w:tcPr>
          <w:p>
            <w:pPr>
              <w:autoSpaceDE w:val="0"/>
              <w:autoSpaceDN w:val="0"/>
              <w:adjustRightInd w:val="0"/>
              <w:jc w:val="center"/>
              <w:rPr>
                <w:color w:val="000000" w:themeColor="text1"/>
                <w:szCs w:val="21"/>
              </w:rPr>
            </w:pPr>
            <w:r>
              <w:rPr>
                <w:rFonts w:hint="eastAsia"/>
                <w:color w:val="000000" w:themeColor="text1"/>
                <w:szCs w:val="21"/>
              </w:rPr>
              <w:t>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Align w:val="center"/>
          </w:tcPr>
          <w:p>
            <w:pPr>
              <w:autoSpaceDE w:val="0"/>
              <w:autoSpaceDN w:val="0"/>
              <w:adjustRightInd w:val="0"/>
              <w:jc w:val="center"/>
              <w:rPr>
                <w:color w:val="000000" w:themeColor="text1"/>
                <w:szCs w:val="21"/>
              </w:rPr>
            </w:pPr>
            <w:r>
              <w:rPr>
                <w:color w:val="000000" w:themeColor="text1"/>
                <w:szCs w:val="21"/>
              </w:rPr>
              <w:t>办公楼</w:t>
            </w:r>
          </w:p>
        </w:tc>
        <w:tc>
          <w:tcPr>
            <w:tcW w:w="950" w:type="dxa"/>
            <w:vAlign w:val="center"/>
          </w:tcPr>
          <w:p>
            <w:pPr>
              <w:autoSpaceDE w:val="0"/>
              <w:autoSpaceDN w:val="0"/>
              <w:adjustRightInd w:val="0"/>
              <w:jc w:val="center"/>
              <w:rPr>
                <w:color w:val="000000" w:themeColor="text1"/>
                <w:szCs w:val="21"/>
              </w:rPr>
            </w:pPr>
            <w:r>
              <w:rPr>
                <w:rFonts w:hint="eastAsia"/>
                <w:color w:val="000000" w:themeColor="text1"/>
                <w:szCs w:val="21"/>
              </w:rPr>
              <w:t>21.5</w:t>
            </w:r>
          </w:p>
        </w:tc>
        <w:tc>
          <w:tcPr>
            <w:tcW w:w="950" w:type="dxa"/>
            <w:vAlign w:val="center"/>
          </w:tcPr>
          <w:p>
            <w:pPr>
              <w:autoSpaceDE w:val="0"/>
              <w:autoSpaceDN w:val="0"/>
              <w:adjustRightInd w:val="0"/>
              <w:jc w:val="center"/>
              <w:rPr>
                <w:b/>
                <w:bCs/>
                <w:color w:val="000000" w:themeColor="text1"/>
                <w:szCs w:val="21"/>
              </w:rPr>
            </w:pPr>
            <w:r>
              <w:rPr>
                <w:rFonts w:hint="eastAsia"/>
                <w:b/>
                <w:bCs/>
                <w:color w:val="000000" w:themeColor="text1"/>
                <w:szCs w:val="21"/>
              </w:rPr>
              <w:t>6</w:t>
            </w:r>
          </w:p>
        </w:tc>
        <w:tc>
          <w:tcPr>
            <w:tcW w:w="2100" w:type="dxa"/>
            <w:vAlign w:val="center"/>
          </w:tcPr>
          <w:p>
            <w:pPr>
              <w:autoSpaceDE w:val="0"/>
              <w:autoSpaceDN w:val="0"/>
              <w:adjustRightInd w:val="0"/>
              <w:jc w:val="center"/>
              <w:rPr>
                <w:color w:val="000000" w:themeColor="text1"/>
                <w:szCs w:val="21"/>
              </w:rPr>
            </w:pPr>
            <w:r>
              <w:rPr>
                <w:rFonts w:hint="eastAsia"/>
                <w:color w:val="000000" w:themeColor="text1"/>
                <w:szCs w:val="21"/>
              </w:rPr>
              <w:t>《建筑设计防火规范（2018年版）》（GB50016-2014）表4.2.1及注6</w:t>
            </w:r>
          </w:p>
        </w:tc>
        <w:tc>
          <w:tcPr>
            <w:tcW w:w="883" w:type="dxa"/>
            <w:vAlign w:val="center"/>
          </w:tcPr>
          <w:p>
            <w:pPr>
              <w:autoSpaceDE w:val="0"/>
              <w:autoSpaceDN w:val="0"/>
              <w:adjustRightInd w:val="0"/>
              <w:jc w:val="center"/>
              <w:rPr>
                <w:color w:val="000000" w:themeColor="text1"/>
                <w:szCs w:val="21"/>
              </w:rPr>
            </w:pPr>
            <w:r>
              <w:rPr>
                <w:rFonts w:hint="eastAsia"/>
                <w:color w:val="000000" w:themeColor="text1"/>
                <w:szCs w:val="21"/>
              </w:rPr>
              <w:t>24</w:t>
            </w:r>
          </w:p>
        </w:tc>
        <w:tc>
          <w:tcPr>
            <w:tcW w:w="917" w:type="dxa"/>
            <w:vAlign w:val="center"/>
          </w:tcPr>
          <w:p>
            <w:pPr>
              <w:autoSpaceDE w:val="0"/>
              <w:autoSpaceDN w:val="0"/>
              <w:adjustRightInd w:val="0"/>
              <w:jc w:val="center"/>
              <w:rPr>
                <w:rFonts w:hint="default" w:eastAsia="宋体"/>
                <w:b/>
                <w:bCs/>
                <w:color w:val="000000" w:themeColor="text1"/>
                <w:szCs w:val="21"/>
                <w:lang w:val="en-US" w:eastAsia="zh-CN"/>
              </w:rPr>
            </w:pPr>
            <w:r>
              <w:rPr>
                <w:rFonts w:hint="eastAsia"/>
                <w:b/>
                <w:bCs/>
                <w:color w:val="000000" w:themeColor="text1"/>
                <w:szCs w:val="21"/>
                <w:lang w:val="en-US" w:eastAsia="zh-CN"/>
              </w:rPr>
              <w:t>5（4）</w:t>
            </w:r>
          </w:p>
        </w:tc>
        <w:tc>
          <w:tcPr>
            <w:tcW w:w="2170" w:type="dxa"/>
            <w:vAlign w:val="center"/>
          </w:tcPr>
          <w:p>
            <w:pPr>
              <w:autoSpaceDE w:val="0"/>
              <w:autoSpaceDN w:val="0"/>
              <w:adjustRightInd w:val="0"/>
              <w:jc w:val="center"/>
              <w:rPr>
                <w:color w:val="000000" w:themeColor="text1"/>
                <w:szCs w:val="21"/>
              </w:rPr>
            </w:pPr>
            <w:r>
              <w:rPr>
                <w:color w:val="000000" w:themeColor="text1"/>
                <w:szCs w:val="21"/>
              </w:rPr>
              <w:t>《汽车加油加气</w:t>
            </w:r>
            <w:r>
              <w:rPr>
                <w:rFonts w:hint="eastAsia"/>
                <w:color w:val="000000" w:themeColor="text1"/>
                <w:szCs w:val="21"/>
              </w:rPr>
              <w:t>加氢站技术标准</w:t>
            </w:r>
            <w:r>
              <w:rPr>
                <w:color w:val="000000" w:themeColor="text1"/>
                <w:szCs w:val="21"/>
              </w:rPr>
              <w:t>》（GB50156-2021）中表5.0.13-1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Align w:val="center"/>
          </w:tcPr>
          <w:p>
            <w:pPr>
              <w:autoSpaceDE w:val="0"/>
              <w:autoSpaceDN w:val="0"/>
              <w:adjustRightInd w:val="0"/>
              <w:jc w:val="center"/>
              <w:rPr>
                <w:color w:val="000000" w:themeColor="text1"/>
                <w:szCs w:val="21"/>
              </w:rPr>
            </w:pPr>
            <w:r>
              <w:rPr>
                <w:color w:val="000000" w:themeColor="text1"/>
                <w:szCs w:val="21"/>
              </w:rPr>
              <w:t>辅助用房</w:t>
            </w:r>
          </w:p>
        </w:tc>
        <w:tc>
          <w:tcPr>
            <w:tcW w:w="950" w:type="dxa"/>
            <w:vAlign w:val="center"/>
          </w:tcPr>
          <w:p>
            <w:pPr>
              <w:autoSpaceDE w:val="0"/>
              <w:autoSpaceDN w:val="0"/>
              <w:adjustRightInd w:val="0"/>
              <w:jc w:val="center"/>
              <w:rPr>
                <w:color w:val="000000" w:themeColor="text1"/>
                <w:szCs w:val="21"/>
              </w:rPr>
            </w:pPr>
            <w:r>
              <w:rPr>
                <w:rFonts w:hint="eastAsia"/>
                <w:color w:val="000000" w:themeColor="text1"/>
                <w:szCs w:val="21"/>
              </w:rPr>
              <w:t>14</w:t>
            </w:r>
          </w:p>
        </w:tc>
        <w:tc>
          <w:tcPr>
            <w:tcW w:w="950" w:type="dxa"/>
            <w:vAlign w:val="center"/>
          </w:tcPr>
          <w:p>
            <w:pPr>
              <w:autoSpaceDE w:val="0"/>
              <w:autoSpaceDN w:val="0"/>
              <w:adjustRightInd w:val="0"/>
              <w:jc w:val="center"/>
              <w:rPr>
                <w:b/>
                <w:bCs/>
                <w:color w:val="000000" w:themeColor="text1"/>
                <w:szCs w:val="21"/>
              </w:rPr>
            </w:pPr>
            <w:r>
              <w:rPr>
                <w:rFonts w:hint="eastAsia"/>
                <w:b/>
                <w:bCs/>
                <w:color w:val="000000" w:themeColor="text1"/>
                <w:szCs w:val="21"/>
              </w:rPr>
              <w:t>6</w:t>
            </w:r>
          </w:p>
        </w:tc>
        <w:tc>
          <w:tcPr>
            <w:tcW w:w="2100" w:type="dxa"/>
            <w:vAlign w:val="center"/>
          </w:tcPr>
          <w:p>
            <w:pPr>
              <w:autoSpaceDE w:val="0"/>
              <w:autoSpaceDN w:val="0"/>
              <w:adjustRightInd w:val="0"/>
              <w:jc w:val="center"/>
              <w:rPr>
                <w:color w:val="000000" w:themeColor="text1"/>
                <w:szCs w:val="21"/>
              </w:rPr>
            </w:pPr>
            <w:r>
              <w:rPr>
                <w:rFonts w:hint="eastAsia"/>
                <w:color w:val="000000" w:themeColor="text1"/>
                <w:szCs w:val="21"/>
              </w:rPr>
              <w:t>《建筑设计防火规范（2018年版）》（GB50016-2014）表4.2.1及注6</w:t>
            </w:r>
          </w:p>
        </w:tc>
        <w:tc>
          <w:tcPr>
            <w:tcW w:w="883" w:type="dxa"/>
            <w:vAlign w:val="center"/>
          </w:tcPr>
          <w:p>
            <w:pPr>
              <w:autoSpaceDE w:val="0"/>
              <w:autoSpaceDN w:val="0"/>
              <w:adjustRightInd w:val="0"/>
              <w:jc w:val="center"/>
              <w:rPr>
                <w:color w:val="000000" w:themeColor="text1"/>
                <w:szCs w:val="21"/>
              </w:rPr>
            </w:pPr>
            <w:r>
              <w:rPr>
                <w:rFonts w:hint="eastAsia"/>
                <w:color w:val="000000" w:themeColor="text1"/>
                <w:szCs w:val="21"/>
              </w:rPr>
              <w:t>16.5</w:t>
            </w:r>
          </w:p>
        </w:tc>
        <w:tc>
          <w:tcPr>
            <w:tcW w:w="917" w:type="dxa"/>
            <w:vAlign w:val="center"/>
          </w:tcPr>
          <w:p>
            <w:pPr>
              <w:autoSpaceDE w:val="0"/>
              <w:autoSpaceDN w:val="0"/>
              <w:adjustRightInd w:val="0"/>
              <w:jc w:val="center"/>
              <w:rPr>
                <w:b/>
                <w:bCs/>
                <w:color w:val="000000" w:themeColor="text1"/>
                <w:szCs w:val="21"/>
              </w:rPr>
            </w:pPr>
            <w:r>
              <w:rPr>
                <w:rFonts w:hint="eastAsia"/>
                <w:b/>
                <w:bCs/>
                <w:color w:val="000000" w:themeColor="text1"/>
                <w:szCs w:val="21"/>
                <w:lang w:val="en-US" w:eastAsia="zh-CN"/>
              </w:rPr>
              <w:t>-（</w:t>
            </w:r>
            <w:r>
              <w:rPr>
                <w:b/>
                <w:bCs/>
                <w:color w:val="000000" w:themeColor="text1"/>
                <w:szCs w:val="21"/>
              </w:rPr>
              <w:t>4</w:t>
            </w:r>
            <w:r>
              <w:rPr>
                <w:rFonts w:hint="eastAsia"/>
                <w:b/>
                <w:bCs/>
                <w:color w:val="000000" w:themeColor="text1"/>
                <w:szCs w:val="21"/>
                <w:lang w:val="en-US" w:eastAsia="zh-CN"/>
              </w:rPr>
              <w:t>）</w:t>
            </w:r>
          </w:p>
        </w:tc>
        <w:tc>
          <w:tcPr>
            <w:tcW w:w="2170" w:type="dxa"/>
            <w:vAlign w:val="center"/>
          </w:tcPr>
          <w:p>
            <w:pPr>
              <w:autoSpaceDE w:val="0"/>
              <w:autoSpaceDN w:val="0"/>
              <w:adjustRightInd w:val="0"/>
              <w:jc w:val="center"/>
              <w:rPr>
                <w:color w:val="000000" w:themeColor="text1"/>
                <w:szCs w:val="21"/>
              </w:rPr>
            </w:pPr>
            <w:r>
              <w:rPr>
                <w:color w:val="000000" w:themeColor="text1"/>
                <w:szCs w:val="21"/>
              </w:rPr>
              <w:t>《汽车加油加气</w:t>
            </w:r>
            <w:r>
              <w:rPr>
                <w:rFonts w:hint="eastAsia"/>
                <w:color w:val="000000" w:themeColor="text1"/>
                <w:szCs w:val="21"/>
              </w:rPr>
              <w:t>加氢站技术标准</w:t>
            </w:r>
            <w:r>
              <w:rPr>
                <w:color w:val="000000" w:themeColor="text1"/>
                <w:szCs w:val="21"/>
              </w:rPr>
              <w:t>》（GB50156-2021）中表5.0.13-1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Align w:val="center"/>
          </w:tcPr>
          <w:p>
            <w:pPr>
              <w:autoSpaceDE w:val="0"/>
              <w:autoSpaceDN w:val="0"/>
              <w:adjustRightInd w:val="0"/>
              <w:jc w:val="center"/>
              <w:rPr>
                <w:color w:val="000000" w:themeColor="text1"/>
                <w:szCs w:val="21"/>
              </w:rPr>
            </w:pPr>
            <w:r>
              <w:rPr>
                <w:color w:val="000000" w:themeColor="text1"/>
                <w:szCs w:val="21"/>
              </w:rPr>
              <w:t>围墙</w:t>
            </w:r>
          </w:p>
        </w:tc>
        <w:tc>
          <w:tcPr>
            <w:tcW w:w="950" w:type="dxa"/>
            <w:vAlign w:val="center"/>
          </w:tcPr>
          <w:p>
            <w:pPr>
              <w:autoSpaceDE w:val="0"/>
              <w:autoSpaceDN w:val="0"/>
              <w:adjustRightInd w:val="0"/>
              <w:jc w:val="center"/>
              <w:rPr>
                <w:color w:val="000000" w:themeColor="text1"/>
                <w:szCs w:val="21"/>
              </w:rPr>
            </w:pPr>
            <w:r>
              <w:rPr>
                <w:rFonts w:hint="eastAsia"/>
                <w:color w:val="000000" w:themeColor="text1"/>
                <w:szCs w:val="21"/>
              </w:rPr>
              <w:t>3.9</w:t>
            </w:r>
          </w:p>
        </w:tc>
        <w:tc>
          <w:tcPr>
            <w:tcW w:w="950" w:type="dxa"/>
            <w:vAlign w:val="center"/>
          </w:tcPr>
          <w:p>
            <w:pPr>
              <w:autoSpaceDE w:val="0"/>
              <w:autoSpaceDN w:val="0"/>
              <w:adjustRightInd w:val="0"/>
              <w:jc w:val="center"/>
              <w:rPr>
                <w:b/>
                <w:bCs/>
                <w:color w:val="000000" w:themeColor="text1"/>
                <w:szCs w:val="21"/>
              </w:rPr>
            </w:pPr>
            <w:r>
              <w:rPr>
                <w:rFonts w:hint="eastAsia"/>
                <w:b/>
                <w:bCs/>
                <w:color w:val="000000" w:themeColor="text1"/>
                <w:szCs w:val="21"/>
              </w:rPr>
              <w:t>2</w:t>
            </w:r>
          </w:p>
        </w:tc>
        <w:tc>
          <w:tcPr>
            <w:tcW w:w="2100" w:type="dxa"/>
            <w:vAlign w:val="center"/>
          </w:tcPr>
          <w:p>
            <w:pPr>
              <w:autoSpaceDE w:val="0"/>
              <w:autoSpaceDN w:val="0"/>
              <w:adjustRightInd w:val="0"/>
              <w:jc w:val="center"/>
              <w:rPr>
                <w:color w:val="000000" w:themeColor="text1"/>
                <w:szCs w:val="21"/>
              </w:rPr>
            </w:pPr>
            <w:r>
              <w:rPr>
                <w:color w:val="000000" w:themeColor="text1"/>
                <w:szCs w:val="21"/>
              </w:rPr>
              <w:t>《汽车加油加气</w:t>
            </w:r>
            <w:r>
              <w:rPr>
                <w:rFonts w:hint="eastAsia"/>
                <w:color w:val="000000" w:themeColor="text1"/>
                <w:szCs w:val="21"/>
              </w:rPr>
              <w:t>加氢站技术标准</w:t>
            </w:r>
            <w:r>
              <w:rPr>
                <w:color w:val="000000" w:themeColor="text1"/>
                <w:szCs w:val="21"/>
              </w:rPr>
              <w:t>》（GB50156-2021）中表5.0.13-1</w:t>
            </w:r>
          </w:p>
        </w:tc>
        <w:tc>
          <w:tcPr>
            <w:tcW w:w="883" w:type="dxa"/>
            <w:vAlign w:val="center"/>
          </w:tcPr>
          <w:p>
            <w:pPr>
              <w:autoSpaceDE w:val="0"/>
              <w:autoSpaceDN w:val="0"/>
              <w:adjustRightInd w:val="0"/>
              <w:jc w:val="center"/>
              <w:rPr>
                <w:color w:val="000000" w:themeColor="text1"/>
                <w:szCs w:val="21"/>
              </w:rPr>
            </w:pPr>
            <w:r>
              <w:rPr>
                <w:rFonts w:hint="eastAsia"/>
                <w:color w:val="000000" w:themeColor="text1"/>
                <w:szCs w:val="21"/>
              </w:rPr>
              <w:t>5.9</w:t>
            </w:r>
          </w:p>
        </w:tc>
        <w:tc>
          <w:tcPr>
            <w:tcW w:w="917" w:type="dxa"/>
            <w:vAlign w:val="center"/>
          </w:tcPr>
          <w:p>
            <w:pPr>
              <w:autoSpaceDE w:val="0"/>
              <w:autoSpaceDN w:val="0"/>
              <w:adjustRightInd w:val="0"/>
              <w:jc w:val="center"/>
              <w:rPr>
                <w:b/>
                <w:bCs/>
                <w:color w:val="000000" w:themeColor="text1"/>
                <w:szCs w:val="21"/>
              </w:rPr>
            </w:pPr>
            <w:r>
              <w:rPr>
                <w:rFonts w:hint="eastAsia"/>
                <w:b/>
                <w:bCs/>
                <w:color w:val="000000" w:themeColor="text1"/>
                <w:szCs w:val="21"/>
                <w:lang w:val="en-US" w:eastAsia="zh-CN"/>
              </w:rPr>
              <w:t>-（</w:t>
            </w:r>
            <w:r>
              <w:rPr>
                <w:b/>
                <w:bCs/>
                <w:color w:val="000000" w:themeColor="text1"/>
                <w:szCs w:val="21"/>
              </w:rPr>
              <w:t>2</w:t>
            </w:r>
            <w:r>
              <w:rPr>
                <w:rFonts w:hint="eastAsia"/>
                <w:b/>
                <w:bCs/>
                <w:color w:val="000000" w:themeColor="text1"/>
                <w:szCs w:val="21"/>
                <w:lang w:val="en-US" w:eastAsia="zh-CN"/>
              </w:rPr>
              <w:t>）</w:t>
            </w:r>
          </w:p>
        </w:tc>
        <w:tc>
          <w:tcPr>
            <w:tcW w:w="2170" w:type="dxa"/>
            <w:vAlign w:val="center"/>
          </w:tcPr>
          <w:p>
            <w:pPr>
              <w:autoSpaceDE w:val="0"/>
              <w:autoSpaceDN w:val="0"/>
              <w:adjustRightInd w:val="0"/>
              <w:jc w:val="center"/>
              <w:rPr>
                <w:color w:val="000000" w:themeColor="text1"/>
                <w:szCs w:val="21"/>
              </w:rPr>
            </w:pPr>
            <w:r>
              <w:rPr>
                <w:color w:val="000000" w:themeColor="text1"/>
                <w:szCs w:val="21"/>
              </w:rPr>
              <w:t>《汽车加油加气</w:t>
            </w:r>
            <w:r>
              <w:rPr>
                <w:rFonts w:hint="eastAsia"/>
                <w:color w:val="000000" w:themeColor="text1"/>
                <w:szCs w:val="21"/>
              </w:rPr>
              <w:t>加氢站技术标准</w:t>
            </w:r>
            <w:r>
              <w:rPr>
                <w:color w:val="000000" w:themeColor="text1"/>
                <w:szCs w:val="21"/>
              </w:rPr>
              <w:t>》（GB50156-2021）中表5.0.13-1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Align w:val="center"/>
          </w:tcPr>
          <w:p>
            <w:pPr>
              <w:autoSpaceDE w:val="0"/>
              <w:autoSpaceDN w:val="0"/>
              <w:adjustRightInd w:val="0"/>
              <w:jc w:val="center"/>
              <w:rPr>
                <w:color w:val="000000" w:themeColor="text1"/>
                <w:szCs w:val="21"/>
              </w:rPr>
            </w:pPr>
            <w:r>
              <w:rPr>
                <w:color w:val="000000" w:themeColor="text1"/>
                <w:szCs w:val="21"/>
              </w:rPr>
              <w:t>甲醇罐</w:t>
            </w:r>
          </w:p>
        </w:tc>
        <w:tc>
          <w:tcPr>
            <w:tcW w:w="950" w:type="dxa"/>
            <w:vAlign w:val="center"/>
          </w:tcPr>
          <w:p>
            <w:pPr>
              <w:autoSpaceDE w:val="0"/>
              <w:autoSpaceDN w:val="0"/>
              <w:adjustRightInd w:val="0"/>
              <w:jc w:val="center"/>
              <w:rPr>
                <w:color w:val="000000" w:themeColor="text1"/>
                <w:szCs w:val="21"/>
              </w:rPr>
            </w:pPr>
            <w:r>
              <w:rPr>
                <w:rFonts w:hint="eastAsia"/>
                <w:color w:val="000000" w:themeColor="text1"/>
                <w:szCs w:val="21"/>
              </w:rPr>
              <w:t>0.5</w:t>
            </w:r>
          </w:p>
        </w:tc>
        <w:tc>
          <w:tcPr>
            <w:tcW w:w="950" w:type="dxa"/>
            <w:vAlign w:val="center"/>
          </w:tcPr>
          <w:p>
            <w:pPr>
              <w:autoSpaceDE w:val="0"/>
              <w:autoSpaceDN w:val="0"/>
              <w:adjustRightInd w:val="0"/>
              <w:jc w:val="center"/>
              <w:rPr>
                <w:b/>
                <w:bCs/>
                <w:color w:val="000000" w:themeColor="text1"/>
                <w:szCs w:val="21"/>
              </w:rPr>
            </w:pPr>
            <w:r>
              <w:rPr>
                <w:rFonts w:hint="eastAsia"/>
                <w:b/>
                <w:bCs/>
                <w:color w:val="000000" w:themeColor="text1"/>
                <w:szCs w:val="21"/>
              </w:rPr>
              <w:t>0.5</w:t>
            </w:r>
          </w:p>
        </w:tc>
        <w:tc>
          <w:tcPr>
            <w:tcW w:w="2100" w:type="dxa"/>
            <w:vAlign w:val="center"/>
          </w:tcPr>
          <w:p>
            <w:pPr>
              <w:autoSpaceDE w:val="0"/>
              <w:autoSpaceDN w:val="0"/>
              <w:adjustRightInd w:val="0"/>
              <w:jc w:val="center"/>
              <w:rPr>
                <w:color w:val="000000" w:themeColor="text1"/>
                <w:szCs w:val="21"/>
              </w:rPr>
            </w:pPr>
            <w:r>
              <w:rPr>
                <w:color w:val="000000" w:themeColor="text1"/>
                <w:szCs w:val="21"/>
              </w:rPr>
              <w:t>《汽车加油加气</w:t>
            </w:r>
            <w:r>
              <w:rPr>
                <w:rFonts w:hint="eastAsia"/>
                <w:color w:val="000000" w:themeColor="text1"/>
                <w:szCs w:val="21"/>
              </w:rPr>
              <w:t>加氢站技术标准</w:t>
            </w:r>
            <w:r>
              <w:rPr>
                <w:color w:val="000000" w:themeColor="text1"/>
                <w:szCs w:val="21"/>
              </w:rPr>
              <w:t>》（GB50156-2021）中表5.0.13-1</w:t>
            </w:r>
          </w:p>
        </w:tc>
        <w:tc>
          <w:tcPr>
            <w:tcW w:w="883" w:type="dxa"/>
            <w:vAlign w:val="center"/>
          </w:tcPr>
          <w:p>
            <w:pPr>
              <w:autoSpaceDE w:val="0"/>
              <w:autoSpaceDN w:val="0"/>
              <w:adjustRightInd w:val="0"/>
              <w:jc w:val="center"/>
              <w:rPr>
                <w:color w:val="000000" w:themeColor="text1"/>
                <w:szCs w:val="21"/>
              </w:rPr>
            </w:pPr>
            <w:r>
              <w:rPr>
                <w:color w:val="000000" w:themeColor="text1"/>
                <w:szCs w:val="21"/>
              </w:rPr>
              <w:t>--</w:t>
            </w:r>
          </w:p>
        </w:tc>
        <w:tc>
          <w:tcPr>
            <w:tcW w:w="917" w:type="dxa"/>
            <w:vAlign w:val="center"/>
          </w:tcPr>
          <w:p>
            <w:pPr>
              <w:autoSpaceDE w:val="0"/>
              <w:autoSpaceDN w:val="0"/>
              <w:adjustRightInd w:val="0"/>
              <w:jc w:val="center"/>
              <w:rPr>
                <w:b/>
                <w:bCs/>
                <w:color w:val="000000" w:themeColor="text1"/>
                <w:szCs w:val="21"/>
              </w:rPr>
            </w:pPr>
            <w:r>
              <w:rPr>
                <w:b/>
                <w:bCs/>
                <w:color w:val="000000" w:themeColor="text1"/>
                <w:szCs w:val="21"/>
              </w:rPr>
              <w:t>--</w:t>
            </w:r>
          </w:p>
        </w:tc>
        <w:tc>
          <w:tcPr>
            <w:tcW w:w="2170" w:type="dxa"/>
            <w:vAlign w:val="center"/>
          </w:tcPr>
          <w:p>
            <w:pPr>
              <w:autoSpaceDE w:val="0"/>
              <w:autoSpaceDN w:val="0"/>
              <w:adjustRightInd w:val="0"/>
              <w:jc w:val="center"/>
              <w:rPr>
                <w:color w:val="000000" w:themeColor="text1"/>
                <w:szCs w:val="21"/>
              </w:rPr>
            </w:pP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96" w:type="dxa"/>
            <w:vAlign w:val="center"/>
          </w:tcPr>
          <w:p>
            <w:pPr>
              <w:autoSpaceDE w:val="0"/>
              <w:autoSpaceDN w:val="0"/>
              <w:adjustRightInd w:val="0"/>
              <w:jc w:val="center"/>
              <w:rPr>
                <w:color w:val="000000" w:themeColor="text1"/>
                <w:szCs w:val="21"/>
              </w:rPr>
            </w:pPr>
            <w:r>
              <w:rPr>
                <w:color w:val="000000" w:themeColor="text1"/>
                <w:szCs w:val="21"/>
              </w:rPr>
              <w:t>备注</w:t>
            </w:r>
          </w:p>
        </w:tc>
        <w:tc>
          <w:tcPr>
            <w:tcW w:w="7970" w:type="dxa"/>
            <w:gridSpan w:val="6"/>
            <w:vAlign w:val="center"/>
          </w:tcPr>
          <w:p>
            <w:pPr>
              <w:autoSpaceDE w:val="0"/>
              <w:autoSpaceDN w:val="0"/>
              <w:adjustRightInd w:val="0"/>
              <w:jc w:val="left"/>
              <w:rPr>
                <w:color w:val="000000" w:themeColor="text1"/>
                <w:szCs w:val="21"/>
              </w:rPr>
            </w:pPr>
            <w:r>
              <w:rPr>
                <w:color w:val="000000" w:themeColor="text1"/>
                <w:szCs w:val="21"/>
              </w:rPr>
              <w:t>间距起算点：通气管——中心线；储罐——罐外壁；建筑物——最凸出外缘</w:t>
            </w:r>
            <w:r>
              <w:rPr>
                <w:rFonts w:hint="eastAsia"/>
                <w:color w:val="000000" w:themeColor="text1"/>
                <w:szCs w:val="21"/>
              </w:rPr>
              <w:t>；表中“--”表示无防火间距要求，加粗部分为标准值</w:t>
            </w:r>
            <w:r>
              <w:rPr>
                <w:color w:val="000000" w:themeColor="text1"/>
                <w:szCs w:val="21"/>
              </w:rPr>
              <w:t>。</w:t>
            </w:r>
          </w:p>
        </w:tc>
      </w:tr>
    </w:tbl>
    <w:p>
      <w:pPr>
        <w:spacing w:line="500" w:lineRule="exact"/>
        <w:ind w:firstLine="560" w:firstLineChars="200"/>
        <w:rPr>
          <w:rFonts w:ascii="宋体" w:hAnsi="宋体" w:cs="宋体"/>
          <w:snapToGrid w:val="0"/>
          <w:color w:val="000000" w:themeColor="text1"/>
          <w:kern w:val="0"/>
          <w:sz w:val="28"/>
          <w:szCs w:val="28"/>
        </w:rPr>
      </w:pPr>
      <w:bookmarkStart w:id="1725" w:name="_Toc7222"/>
      <w:r>
        <w:rPr>
          <w:rFonts w:hint="eastAsia" w:ascii="宋体" w:hAnsi="宋体" w:cs="宋体"/>
          <w:snapToGrid w:val="0"/>
          <w:color w:val="000000" w:themeColor="text1"/>
          <w:kern w:val="0"/>
          <w:sz w:val="28"/>
          <w:szCs w:val="28"/>
        </w:rPr>
        <w:t>由上表检查结果可知，除甲醇储罐及甲醇罐通气口与其西面和南面的围墙防护间距不足外，该项目甲醇储存、装卸设施等的防火间距符合</w:t>
      </w:r>
      <w:r>
        <w:rPr>
          <w:rFonts w:hint="eastAsia" w:ascii="宋体" w:hAnsi="宋体" w:cs="宋体"/>
          <w:color w:val="000000" w:themeColor="text1"/>
          <w:sz w:val="28"/>
          <w:szCs w:val="28"/>
        </w:rPr>
        <w:t>《建筑设计防火规范（2018年版）》（GB50016-2014）、</w:t>
      </w:r>
      <w:r>
        <w:rPr>
          <w:rFonts w:hint="eastAsia" w:ascii="宋体" w:hAnsi="宋体" w:cs="宋体"/>
          <w:snapToGrid w:val="0"/>
          <w:color w:val="000000" w:themeColor="text1"/>
          <w:kern w:val="0"/>
          <w:sz w:val="28"/>
          <w:szCs w:val="28"/>
        </w:rPr>
        <w:t>《汽车加油加气加氢站技术标准》（GB50156-2021）等标准规范的要求。</w:t>
      </w:r>
    </w:p>
    <w:bookmarkEnd w:id="1725"/>
    <w:p>
      <w:pPr>
        <w:pStyle w:val="19"/>
        <w:spacing w:afterLines="100" w:line="500" w:lineRule="exact"/>
        <w:rPr>
          <w:rFonts w:ascii="黑体" w:hAnsi="宋体" w:eastAsia="黑体"/>
          <w:color w:val="000000" w:themeColor="text1"/>
          <w:kern w:val="3"/>
          <w:sz w:val="28"/>
          <w:szCs w:val="28"/>
        </w:rPr>
      </w:pPr>
      <w:bookmarkStart w:id="1726" w:name="_Toc4736"/>
      <w:bookmarkStart w:id="1727" w:name="_Toc8063"/>
      <w:bookmarkStart w:id="1728" w:name="_Toc24138"/>
      <w:bookmarkStart w:id="1729" w:name="_Toc7609"/>
      <w:bookmarkStart w:id="1730" w:name="_Toc19020"/>
      <w:bookmarkStart w:id="1731" w:name="_Toc29970"/>
      <w:bookmarkStart w:id="1732" w:name="_Toc3965"/>
      <w:bookmarkStart w:id="1733" w:name="_Toc26282"/>
      <w:bookmarkStart w:id="1734" w:name="_Toc30610"/>
      <w:bookmarkStart w:id="1735" w:name="_Toc20987"/>
      <w:r>
        <w:rPr>
          <w:rFonts w:hint="eastAsia" w:ascii="黑体" w:hAnsi="宋体" w:eastAsia="黑体"/>
          <w:color w:val="000000" w:themeColor="text1"/>
          <w:kern w:val="3"/>
          <w:sz w:val="28"/>
          <w:szCs w:val="28"/>
        </w:rPr>
        <w:t>5.3.3评价单元小结</w:t>
      </w:r>
      <w:bookmarkEnd w:id="1726"/>
      <w:bookmarkEnd w:id="1727"/>
      <w:bookmarkEnd w:id="1728"/>
      <w:bookmarkEnd w:id="1729"/>
      <w:bookmarkEnd w:id="1730"/>
      <w:bookmarkEnd w:id="1731"/>
      <w:bookmarkEnd w:id="1732"/>
      <w:bookmarkEnd w:id="1733"/>
      <w:bookmarkEnd w:id="1734"/>
      <w:bookmarkEnd w:id="1735"/>
    </w:p>
    <w:p>
      <w:pPr>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由上述分析评价结果可知：</w:t>
      </w:r>
    </w:p>
    <w:p>
      <w:pPr>
        <w:spacing w:line="500" w:lineRule="exact"/>
        <w:ind w:firstLine="560" w:firstLineChars="200"/>
        <w:rPr>
          <w:rFonts w:ascii="宋体" w:hAnsi="宋体" w:cs="宋体"/>
          <w:snapToGrid w:val="0"/>
          <w:color w:val="000000" w:themeColor="text1"/>
          <w:kern w:val="0"/>
          <w:sz w:val="28"/>
          <w:szCs w:val="28"/>
        </w:rPr>
      </w:pPr>
      <w:r>
        <w:rPr>
          <w:rFonts w:eastAsiaTheme="minorEastAsia"/>
          <w:snapToGrid w:val="0"/>
          <w:color w:val="000000" w:themeColor="text1"/>
          <w:kern w:val="0"/>
          <w:sz w:val="28"/>
          <w:szCs w:val="28"/>
        </w:rPr>
        <w:t>1</w:t>
      </w:r>
      <w:r>
        <w:rPr>
          <w:rFonts w:hint="eastAsia" w:eastAsiaTheme="minorEastAsia"/>
          <w:snapToGrid w:val="0"/>
          <w:color w:val="000000" w:themeColor="text1"/>
          <w:kern w:val="0"/>
          <w:sz w:val="28"/>
          <w:szCs w:val="28"/>
        </w:rPr>
        <w:t>.</w:t>
      </w:r>
      <w:r>
        <w:rPr>
          <w:rFonts w:hint="eastAsia" w:ascii="宋体" w:hAnsi="宋体" w:cs="宋体"/>
          <w:snapToGrid w:val="0"/>
          <w:color w:val="000000" w:themeColor="text1"/>
          <w:kern w:val="0"/>
          <w:sz w:val="28"/>
          <w:szCs w:val="28"/>
        </w:rPr>
        <w:t>该项目甲醇储存设施与厂外周边环境的防火间距符合</w:t>
      </w:r>
      <w:r>
        <w:rPr>
          <w:rFonts w:hint="eastAsia" w:ascii="宋体" w:hAnsi="宋体" w:cs="宋体"/>
          <w:color w:val="000000" w:themeColor="text1"/>
          <w:sz w:val="28"/>
          <w:szCs w:val="21"/>
        </w:rPr>
        <w:t>《危险化学品安全管理条例》（中华人民共和国国务院令第591号，2015年修订）</w:t>
      </w:r>
      <w:r>
        <w:rPr>
          <w:rFonts w:hint="eastAsia" w:ascii="宋体" w:hAnsi="宋体" w:cs="宋体"/>
          <w:color w:val="000000" w:themeColor="text1"/>
          <w:sz w:val="28"/>
        </w:rPr>
        <w:t>、《工业企业总平面设计规范》（GB50187-2012）</w:t>
      </w:r>
      <w:r>
        <w:rPr>
          <w:rFonts w:hint="eastAsia" w:ascii="宋体" w:hAnsi="宋体" w:cs="宋体"/>
          <w:color w:val="000000" w:themeColor="text1"/>
          <w:sz w:val="28"/>
          <w:szCs w:val="28"/>
        </w:rPr>
        <w:t>、</w:t>
      </w:r>
      <w:r>
        <w:rPr>
          <w:rFonts w:hint="eastAsia" w:ascii="宋体" w:hAnsi="宋体" w:cs="宋体"/>
          <w:snapToGrid w:val="0"/>
          <w:color w:val="000000" w:themeColor="text1"/>
          <w:kern w:val="0"/>
          <w:sz w:val="28"/>
          <w:szCs w:val="28"/>
        </w:rPr>
        <w:t>《建筑设计防火规范（2018年版）》（GB50016-2014）、《汽车加油加气加氢站技术标准》（GB50156-2021）等有关标准规范的要求。</w:t>
      </w:r>
    </w:p>
    <w:p>
      <w:pPr>
        <w:spacing w:line="500" w:lineRule="exact"/>
        <w:ind w:firstLine="560" w:firstLineChars="200"/>
        <w:rPr>
          <w:rFonts w:ascii="宋体" w:hAnsi="宋体" w:cs="宋体"/>
          <w:color w:val="000000" w:themeColor="text1"/>
          <w:sz w:val="28"/>
        </w:rPr>
      </w:pPr>
      <w:r>
        <w:rPr>
          <w:rFonts w:hint="eastAsia" w:ascii="宋体" w:hAnsi="宋体" w:cs="宋体"/>
          <w:snapToGrid w:val="0"/>
          <w:color w:val="000000" w:themeColor="text1"/>
          <w:kern w:val="28"/>
          <w:sz w:val="28"/>
          <w:szCs w:val="28"/>
        </w:rPr>
        <w:t>2.该项目总平面布置以及甲醇储存、装卸设施的防火间距</w:t>
      </w:r>
      <w:r>
        <w:rPr>
          <w:rFonts w:hint="eastAsia" w:ascii="宋体" w:hAnsi="宋体" w:cs="宋体"/>
          <w:snapToGrid w:val="0"/>
          <w:color w:val="000000" w:themeColor="text1"/>
          <w:kern w:val="0"/>
          <w:sz w:val="28"/>
          <w:szCs w:val="20"/>
        </w:rPr>
        <w:t>均符合《建筑设计防火规范（2018年版）》（GB50016-2014）、《汽车加油加气加氢站技术标准》（GB50156-2021）等相关标准、规范的要求。</w:t>
      </w:r>
    </w:p>
    <w:p>
      <w:pPr>
        <w:pStyle w:val="19"/>
        <w:spacing w:afterLines="100" w:line="500" w:lineRule="exact"/>
        <w:jc w:val="center"/>
        <w:rPr>
          <w:rFonts w:ascii="楷体_GB2312" w:hAnsi="宋体" w:eastAsia="楷体_GB2312"/>
          <w:color w:val="000000" w:themeColor="text1"/>
          <w:kern w:val="3"/>
        </w:rPr>
      </w:pPr>
      <w:bookmarkStart w:id="1736" w:name="_Toc22940"/>
      <w:bookmarkStart w:id="1737" w:name="_Toc23563"/>
      <w:bookmarkStart w:id="1738" w:name="_Toc9033"/>
      <w:bookmarkStart w:id="1739" w:name="_Toc7561"/>
      <w:bookmarkStart w:id="1740" w:name="_Toc31478"/>
      <w:bookmarkStart w:id="1741" w:name="_Toc9107"/>
      <w:bookmarkStart w:id="1742" w:name="_Toc20644"/>
      <w:bookmarkStart w:id="1743" w:name="_Toc21227"/>
      <w:bookmarkStart w:id="1744" w:name="_Toc13619"/>
      <w:bookmarkStart w:id="1745" w:name="_Toc14897"/>
      <w:bookmarkStart w:id="1746" w:name="_Toc12524"/>
      <w:bookmarkStart w:id="1747" w:name="_Toc18133"/>
      <w:bookmarkStart w:id="1748" w:name="_Toc4876"/>
      <w:bookmarkStart w:id="1749" w:name="_Toc19547_WPSOffice_Level2"/>
      <w:bookmarkStart w:id="1750" w:name="_Toc22420"/>
      <w:bookmarkStart w:id="1751" w:name="_Toc11173"/>
      <w:r>
        <w:rPr>
          <w:rFonts w:hint="eastAsia" w:ascii="楷体_GB2312" w:hAnsi="宋体" w:eastAsia="楷体_GB2312"/>
          <w:color w:val="000000" w:themeColor="text1"/>
          <w:kern w:val="3"/>
        </w:rPr>
        <w:t>5.4甲醇储存工艺设备、设施单元分析评价</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pPr>
        <w:pStyle w:val="19"/>
        <w:spacing w:afterLines="100" w:line="500" w:lineRule="exact"/>
        <w:rPr>
          <w:rFonts w:ascii="黑体" w:hAnsi="宋体" w:eastAsia="黑体"/>
          <w:color w:val="000000" w:themeColor="text1"/>
          <w:kern w:val="3"/>
          <w:sz w:val="28"/>
          <w:szCs w:val="28"/>
        </w:rPr>
      </w:pPr>
      <w:bookmarkStart w:id="1752" w:name="_Toc25253"/>
      <w:bookmarkStart w:id="1753" w:name="_Toc7977"/>
      <w:bookmarkStart w:id="1754" w:name="_Toc26415"/>
      <w:bookmarkStart w:id="1755" w:name="_Toc8719"/>
      <w:bookmarkStart w:id="1756" w:name="_Toc31228"/>
      <w:bookmarkStart w:id="1757" w:name="_Toc4822"/>
      <w:bookmarkStart w:id="1758" w:name="_Toc445750300"/>
      <w:bookmarkStart w:id="1759" w:name="_Toc2501"/>
      <w:bookmarkStart w:id="1760" w:name="_Toc19125"/>
      <w:bookmarkStart w:id="1761" w:name="_Toc28677"/>
      <w:bookmarkStart w:id="1762" w:name="_Toc3736"/>
      <w:r>
        <w:rPr>
          <w:rFonts w:hint="eastAsia" w:ascii="黑体" w:hAnsi="宋体" w:eastAsia="黑体"/>
          <w:color w:val="000000" w:themeColor="text1"/>
          <w:kern w:val="3"/>
          <w:sz w:val="28"/>
          <w:szCs w:val="28"/>
        </w:rPr>
        <w:t>5.4.1甲醇储存工艺设备、设施安全检查表</w:t>
      </w:r>
      <w:bookmarkEnd w:id="1752"/>
      <w:bookmarkEnd w:id="1753"/>
      <w:bookmarkEnd w:id="1754"/>
      <w:bookmarkEnd w:id="1755"/>
      <w:bookmarkEnd w:id="1756"/>
      <w:bookmarkEnd w:id="1757"/>
      <w:bookmarkEnd w:id="1758"/>
      <w:bookmarkEnd w:id="1759"/>
      <w:bookmarkEnd w:id="1760"/>
      <w:bookmarkEnd w:id="1761"/>
      <w:bookmarkEnd w:id="1762"/>
    </w:p>
    <w:bookmarkEnd w:id="1649"/>
    <w:bookmarkEnd w:id="1650"/>
    <w:p>
      <w:pPr>
        <w:adjustRightInd w:val="0"/>
        <w:snapToGrid w:val="0"/>
        <w:spacing w:line="500" w:lineRule="exact"/>
        <w:ind w:firstLine="560" w:firstLineChars="200"/>
        <w:jc w:val="left"/>
        <w:rPr>
          <w:rFonts w:eastAsiaTheme="minorEastAsia"/>
          <w:snapToGrid w:val="0"/>
          <w:color w:val="000000" w:themeColor="text1"/>
          <w:kern w:val="0"/>
          <w:sz w:val="28"/>
          <w:szCs w:val="28"/>
        </w:rPr>
      </w:pPr>
      <w:bookmarkStart w:id="1763" w:name="_Toc445750304"/>
      <w:r>
        <w:rPr>
          <w:rFonts w:eastAsiaTheme="minorEastAsia"/>
          <w:snapToGrid w:val="0"/>
          <w:color w:val="000000" w:themeColor="text1"/>
          <w:kern w:val="0"/>
          <w:sz w:val="28"/>
          <w:szCs w:val="28"/>
        </w:rPr>
        <w:t>根据</w:t>
      </w:r>
      <w:r>
        <w:rPr>
          <w:rFonts w:eastAsiaTheme="minorEastAsia"/>
          <w:color w:val="000000" w:themeColor="text1"/>
          <w:sz w:val="28"/>
          <w:szCs w:val="28"/>
        </w:rPr>
        <w:t>《汽车加油加气加氢站技术标准》（GB50156-2021）的要求，对该项目甲醇储罐区进行安</w:t>
      </w:r>
      <w:r>
        <w:rPr>
          <w:rFonts w:eastAsiaTheme="minorEastAsia"/>
          <w:snapToGrid w:val="0"/>
          <w:color w:val="000000" w:themeColor="text1"/>
          <w:kern w:val="0"/>
          <w:sz w:val="28"/>
          <w:szCs w:val="28"/>
        </w:rPr>
        <w:t>全分析评价，具体情况如下表所示：</w:t>
      </w:r>
      <w:bookmarkStart w:id="1764" w:name="_Toc21488"/>
      <w:bookmarkStart w:id="1765" w:name="_Toc18680"/>
      <w:bookmarkStart w:id="1766" w:name="_Toc13888"/>
      <w:bookmarkStart w:id="1767" w:name="_Toc5938"/>
      <w:bookmarkStart w:id="1768" w:name="_Toc18970"/>
      <w:bookmarkStart w:id="1769" w:name="_Toc30160"/>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5.4.1.1储罐区分析评价</w:t>
      </w:r>
      <w:bookmarkEnd w:id="1764"/>
      <w:bookmarkEnd w:id="1765"/>
      <w:bookmarkEnd w:id="1766"/>
      <w:bookmarkEnd w:id="1767"/>
      <w:bookmarkEnd w:id="1768"/>
      <w:bookmarkEnd w:id="1769"/>
    </w:p>
    <w:p>
      <w:pPr>
        <w:adjustRightInd w:val="0"/>
        <w:snapToGrid w:val="0"/>
        <w:spacing w:line="500" w:lineRule="exact"/>
        <w:ind w:firstLine="480" w:firstLineChars="200"/>
        <w:jc w:val="center"/>
        <w:rPr>
          <w:color w:val="000000" w:themeColor="text1"/>
        </w:rPr>
      </w:pPr>
      <w:r>
        <w:rPr>
          <w:color w:val="000000" w:themeColor="text1"/>
          <w:sz w:val="24"/>
        </w:rPr>
        <w:t xml:space="preserve">表5-8 </w:t>
      </w:r>
      <w:r>
        <w:rPr>
          <w:rFonts w:hint="eastAsia"/>
          <w:color w:val="000000" w:themeColor="text1"/>
          <w:sz w:val="24"/>
        </w:rPr>
        <w:t>甲醇储存工艺设备、设施安全</w:t>
      </w:r>
      <w:r>
        <w:rPr>
          <w:color w:val="000000" w:themeColor="text1"/>
          <w:sz w:val="24"/>
        </w:rPr>
        <w:t>检查表</w:t>
      </w:r>
    </w:p>
    <w:tbl>
      <w:tblPr>
        <w:tblStyle w:val="52"/>
        <w:tblW w:w="94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13"/>
        <w:gridCol w:w="3683"/>
        <w:gridCol w:w="2192"/>
        <w:gridCol w:w="2201"/>
        <w:gridCol w:w="7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61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themeColor="text1"/>
                <w:szCs w:val="21"/>
              </w:rPr>
            </w:pPr>
            <w:r>
              <w:rPr>
                <w:rFonts w:hint="eastAsia" w:ascii="宋体" w:hAnsi="宋体" w:cs="宋体"/>
                <w:b/>
                <w:bCs/>
                <w:color w:val="000000" w:themeColor="text1"/>
                <w:szCs w:val="21"/>
              </w:rPr>
              <w:t>序号</w:t>
            </w:r>
          </w:p>
        </w:tc>
        <w:tc>
          <w:tcPr>
            <w:tcW w:w="36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themeColor="text1"/>
                <w:szCs w:val="21"/>
              </w:rPr>
            </w:pPr>
            <w:r>
              <w:rPr>
                <w:rFonts w:hint="eastAsia" w:ascii="宋体" w:hAnsi="宋体" w:cs="宋体"/>
                <w:b/>
                <w:bCs/>
                <w:color w:val="000000" w:themeColor="text1"/>
                <w:szCs w:val="21"/>
              </w:rPr>
              <w:t>检查内容</w:t>
            </w:r>
          </w:p>
        </w:tc>
        <w:tc>
          <w:tcPr>
            <w:tcW w:w="21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themeColor="text1"/>
                <w:szCs w:val="21"/>
              </w:rPr>
            </w:pPr>
            <w:r>
              <w:rPr>
                <w:rFonts w:hint="eastAsia" w:ascii="宋体" w:hAnsi="宋体" w:cs="宋体"/>
                <w:b/>
                <w:bCs/>
                <w:color w:val="000000" w:themeColor="text1"/>
                <w:szCs w:val="21"/>
              </w:rPr>
              <w:t>标准依据</w:t>
            </w:r>
          </w:p>
        </w:tc>
        <w:tc>
          <w:tcPr>
            <w:tcW w:w="22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themeColor="text1"/>
                <w:szCs w:val="21"/>
              </w:rPr>
            </w:pPr>
            <w:r>
              <w:rPr>
                <w:rFonts w:hint="eastAsia" w:ascii="宋体" w:hAnsi="宋体" w:cs="宋体"/>
                <w:b/>
                <w:bCs/>
                <w:color w:val="000000" w:themeColor="text1"/>
                <w:szCs w:val="21"/>
              </w:rPr>
              <w:t>实际情况</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themeColor="text1"/>
                <w:szCs w:val="21"/>
              </w:rPr>
            </w:pPr>
            <w:r>
              <w:rPr>
                <w:rFonts w:hint="eastAsia" w:ascii="宋体" w:hAnsi="宋体" w:cs="宋体"/>
                <w:b/>
                <w:bCs/>
                <w:color w:val="000000" w:themeColor="text1"/>
                <w:szCs w:val="21"/>
              </w:rPr>
              <w:t>检查结果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13" w:type="dxa"/>
            <w:tcBorders>
              <w:top w:val="single" w:color="auto" w:sz="4" w:space="0"/>
              <w:left w:val="single" w:color="auto" w:sz="4" w:space="0"/>
              <w:bottom w:val="single" w:color="auto" w:sz="4" w:space="0"/>
              <w:right w:val="single" w:color="auto" w:sz="4" w:space="0"/>
            </w:tcBorders>
            <w:vAlign w:val="center"/>
          </w:tcPr>
          <w:p>
            <w:pPr>
              <w:numPr>
                <w:ilvl w:val="0"/>
                <w:numId w:val="16"/>
              </w:numPr>
              <w:jc w:val="center"/>
              <w:rPr>
                <w:rFonts w:ascii="宋体" w:hAnsi="宋体" w:cs="宋体"/>
                <w:color w:val="000000" w:themeColor="text1"/>
                <w:szCs w:val="21"/>
              </w:rPr>
            </w:pPr>
          </w:p>
        </w:tc>
        <w:tc>
          <w:tcPr>
            <w:tcW w:w="368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汽车加油站的储油罐，应采用卧式油罐。</w:t>
            </w:r>
          </w:p>
        </w:tc>
        <w:tc>
          <w:tcPr>
            <w:tcW w:w="21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《汽车加油加气加氢站技术标准》（GB50156-2021）</w:t>
            </w:r>
          </w:p>
          <w:p>
            <w:pPr>
              <w:jc w:val="center"/>
              <w:rPr>
                <w:rFonts w:ascii="宋体" w:hAnsi="宋体" w:cs="宋体"/>
                <w:color w:val="000000" w:themeColor="text1"/>
                <w:szCs w:val="21"/>
              </w:rPr>
            </w:pPr>
            <w:r>
              <w:rPr>
                <w:rFonts w:hint="eastAsia" w:ascii="宋体" w:hAnsi="宋体" w:cs="宋体"/>
                <w:color w:val="000000" w:themeColor="text1"/>
                <w:szCs w:val="21"/>
              </w:rPr>
              <w:t>第6.1.2条</w:t>
            </w:r>
          </w:p>
        </w:tc>
        <w:tc>
          <w:tcPr>
            <w:tcW w:w="220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该项目两个储罐均采用卧式储罐。</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13" w:type="dxa"/>
            <w:tcBorders>
              <w:top w:val="single" w:color="auto" w:sz="4" w:space="0"/>
              <w:left w:val="single" w:color="auto" w:sz="4" w:space="0"/>
              <w:bottom w:val="single" w:color="auto" w:sz="4" w:space="0"/>
              <w:right w:val="single" w:color="auto" w:sz="4" w:space="0"/>
            </w:tcBorders>
            <w:vAlign w:val="center"/>
          </w:tcPr>
          <w:p>
            <w:pPr>
              <w:numPr>
                <w:ilvl w:val="0"/>
                <w:numId w:val="16"/>
              </w:numPr>
              <w:jc w:val="center"/>
              <w:rPr>
                <w:rFonts w:ascii="宋体" w:hAnsi="宋体" w:cs="宋体"/>
                <w:color w:val="000000" w:themeColor="text1"/>
                <w:szCs w:val="21"/>
              </w:rPr>
            </w:pPr>
          </w:p>
        </w:tc>
        <w:tc>
          <w:tcPr>
            <w:tcW w:w="368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油罐应采用钢制人孔盖。</w:t>
            </w:r>
          </w:p>
        </w:tc>
        <w:tc>
          <w:tcPr>
            <w:tcW w:w="21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《汽车加油加气加氢站技术标准》（GB50156-2021）</w:t>
            </w:r>
          </w:p>
          <w:p>
            <w:pPr>
              <w:jc w:val="center"/>
              <w:rPr>
                <w:rFonts w:ascii="宋体" w:hAnsi="宋体" w:cs="宋体"/>
                <w:color w:val="000000" w:themeColor="text1"/>
                <w:szCs w:val="21"/>
              </w:rPr>
            </w:pPr>
            <w:r>
              <w:rPr>
                <w:rFonts w:hint="eastAsia" w:ascii="宋体" w:hAnsi="宋体" w:cs="宋体"/>
                <w:color w:val="000000" w:themeColor="text1"/>
                <w:szCs w:val="21"/>
              </w:rPr>
              <w:t>第6.1.11条</w:t>
            </w:r>
          </w:p>
        </w:tc>
        <w:tc>
          <w:tcPr>
            <w:tcW w:w="220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该项目储罐采用钢制人孔盖。</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13" w:type="dxa"/>
            <w:tcBorders>
              <w:top w:val="single" w:color="auto" w:sz="4" w:space="0"/>
              <w:left w:val="single" w:color="auto" w:sz="4" w:space="0"/>
              <w:bottom w:val="single" w:color="auto" w:sz="4" w:space="0"/>
              <w:right w:val="single" w:color="auto" w:sz="4" w:space="0"/>
            </w:tcBorders>
            <w:vAlign w:val="center"/>
          </w:tcPr>
          <w:p>
            <w:pPr>
              <w:numPr>
                <w:ilvl w:val="0"/>
                <w:numId w:val="16"/>
              </w:numPr>
              <w:jc w:val="center"/>
              <w:rPr>
                <w:rFonts w:ascii="宋体" w:hAnsi="宋体" w:cs="宋体"/>
                <w:color w:val="000000" w:themeColor="text1"/>
                <w:szCs w:val="21"/>
              </w:rPr>
            </w:pPr>
          </w:p>
        </w:tc>
        <w:tc>
          <w:tcPr>
            <w:tcW w:w="368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当埋地油罐受地下水或雨水作用有上浮的可能时，应采取防止油罐上浮的措施。</w:t>
            </w:r>
          </w:p>
        </w:tc>
        <w:tc>
          <w:tcPr>
            <w:tcW w:w="21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《汽车加油加气加氢站技术标准》（GB50156-2021）</w:t>
            </w:r>
          </w:p>
          <w:p>
            <w:pPr>
              <w:jc w:val="center"/>
              <w:rPr>
                <w:rFonts w:ascii="宋体" w:hAnsi="宋体" w:cs="宋体"/>
                <w:color w:val="000000" w:themeColor="text1"/>
                <w:szCs w:val="21"/>
              </w:rPr>
            </w:pPr>
            <w:r>
              <w:rPr>
                <w:rFonts w:hint="eastAsia" w:ascii="宋体" w:hAnsi="宋体" w:cs="宋体"/>
                <w:color w:val="000000" w:themeColor="text1"/>
                <w:szCs w:val="21"/>
              </w:rPr>
              <w:t>第6.1.13条</w:t>
            </w:r>
          </w:p>
        </w:tc>
        <w:tc>
          <w:tcPr>
            <w:tcW w:w="220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储罐埋地前已采取防止储罐上浮的措施。</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13" w:type="dxa"/>
            <w:tcBorders>
              <w:top w:val="single" w:color="auto" w:sz="4" w:space="0"/>
              <w:left w:val="single" w:color="auto" w:sz="4" w:space="0"/>
              <w:bottom w:val="single" w:color="auto" w:sz="4" w:space="0"/>
              <w:right w:val="single" w:color="auto" w:sz="4" w:space="0"/>
            </w:tcBorders>
            <w:vAlign w:val="center"/>
          </w:tcPr>
          <w:p>
            <w:pPr>
              <w:numPr>
                <w:ilvl w:val="0"/>
                <w:numId w:val="16"/>
              </w:numPr>
              <w:jc w:val="center"/>
              <w:rPr>
                <w:rFonts w:ascii="宋体" w:hAnsi="宋体" w:cs="宋体"/>
                <w:color w:val="000000" w:themeColor="text1"/>
                <w:szCs w:val="21"/>
              </w:rPr>
            </w:pPr>
          </w:p>
        </w:tc>
        <w:tc>
          <w:tcPr>
            <w:tcW w:w="368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设有油气回收系统的加油加气站，其站内油罐应设带有高液位报警功能的液位监测系统。单层油罐的液位监测系统尚应具备渗漏检测功能，其渗漏检测分辨率不宜大于0.8L/h。</w:t>
            </w:r>
          </w:p>
        </w:tc>
        <w:tc>
          <w:tcPr>
            <w:tcW w:w="21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《汽车加油加气加氢站技术标准》（GB50156-2021）</w:t>
            </w:r>
          </w:p>
          <w:p>
            <w:pPr>
              <w:jc w:val="center"/>
              <w:rPr>
                <w:rFonts w:ascii="宋体" w:hAnsi="宋体" w:cs="宋体"/>
                <w:color w:val="000000" w:themeColor="text1"/>
                <w:szCs w:val="21"/>
              </w:rPr>
            </w:pPr>
            <w:r>
              <w:rPr>
                <w:rFonts w:hint="eastAsia" w:ascii="宋体" w:hAnsi="宋体" w:cs="宋体"/>
                <w:color w:val="000000" w:themeColor="text1"/>
                <w:szCs w:val="21"/>
              </w:rPr>
              <w:t>第6.1.16条</w:t>
            </w:r>
          </w:p>
        </w:tc>
        <w:tc>
          <w:tcPr>
            <w:tcW w:w="220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该项目设有高液位报警仪。但现场检查液位报警仪已经失效。</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不符合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13" w:type="dxa"/>
            <w:tcBorders>
              <w:top w:val="single" w:color="auto" w:sz="4" w:space="0"/>
              <w:left w:val="single" w:color="auto" w:sz="4" w:space="0"/>
              <w:bottom w:val="single" w:color="auto" w:sz="4" w:space="0"/>
              <w:right w:val="single" w:color="auto" w:sz="4" w:space="0"/>
            </w:tcBorders>
            <w:vAlign w:val="center"/>
          </w:tcPr>
          <w:p>
            <w:pPr>
              <w:numPr>
                <w:ilvl w:val="0"/>
                <w:numId w:val="16"/>
              </w:numPr>
              <w:jc w:val="center"/>
              <w:rPr>
                <w:rFonts w:ascii="宋体" w:hAnsi="宋体" w:cs="宋体"/>
                <w:color w:val="000000" w:themeColor="text1"/>
                <w:szCs w:val="21"/>
              </w:rPr>
            </w:pPr>
          </w:p>
        </w:tc>
        <w:tc>
          <w:tcPr>
            <w:tcW w:w="368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szCs w:val="21"/>
              </w:rPr>
            </w:pPr>
            <w:r>
              <w:rPr>
                <w:rFonts w:hint="eastAsia" w:ascii="宋体" w:hAnsi="宋体" w:cs="宋体"/>
                <w:color w:val="000000" w:themeColor="text1"/>
                <w:szCs w:val="21"/>
              </w:rPr>
              <w:t>与土壤接触的钢制油罐外表面，其防腐设计应符合现行行业标准《石油化工设备和管道涂料防腐蚀技术规范》SH 3022的有关规定，且防腐等级不应低于加强级。</w:t>
            </w:r>
          </w:p>
        </w:tc>
        <w:tc>
          <w:tcPr>
            <w:tcW w:w="21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《汽车加油加气加氢站技术标准》（GB50156-2021）</w:t>
            </w:r>
          </w:p>
          <w:p>
            <w:pPr>
              <w:jc w:val="center"/>
              <w:rPr>
                <w:rFonts w:ascii="宋体" w:hAnsi="宋体" w:cs="宋体"/>
                <w:color w:val="000000" w:themeColor="text1"/>
                <w:szCs w:val="21"/>
              </w:rPr>
            </w:pPr>
            <w:r>
              <w:rPr>
                <w:rFonts w:hint="eastAsia" w:ascii="宋体" w:hAnsi="宋体" w:cs="宋体"/>
                <w:color w:val="000000" w:themeColor="text1"/>
                <w:szCs w:val="21"/>
              </w:rPr>
              <w:t>第6.1.17条</w:t>
            </w:r>
          </w:p>
        </w:tc>
        <w:tc>
          <w:tcPr>
            <w:tcW w:w="2201"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color w:val="000000" w:themeColor="text1"/>
                <w:szCs w:val="21"/>
              </w:rPr>
            </w:pPr>
            <w:r>
              <w:rPr>
                <w:rFonts w:hint="eastAsia" w:ascii="宋体" w:hAnsi="宋体" w:cs="宋体"/>
                <w:color w:val="000000" w:themeColor="text1"/>
                <w:szCs w:val="21"/>
              </w:rPr>
              <w:t>业主介绍该项目的储罐在埋地前进行了加强级防腐处理。</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rPr>
            </w:pPr>
            <w:r>
              <w:rPr>
                <w:rFonts w:hint="eastAsia" w:ascii="宋体" w:hAnsi="宋体" w:cs="宋体"/>
                <w:color w:val="000000" w:themeColor="text1"/>
                <w:szCs w:val="21"/>
              </w:rPr>
              <w:t>符合</w:t>
            </w:r>
          </w:p>
        </w:tc>
      </w:tr>
      <w:bookmarkEnd w:id="1763"/>
    </w:tbl>
    <w:p>
      <w:pPr>
        <w:pStyle w:val="19"/>
        <w:spacing w:afterLines="100" w:line="500" w:lineRule="exact"/>
        <w:rPr>
          <w:rFonts w:ascii="黑体" w:hAnsi="宋体" w:eastAsia="黑体"/>
          <w:color w:val="000000" w:themeColor="text1"/>
          <w:kern w:val="3"/>
          <w:sz w:val="28"/>
          <w:szCs w:val="28"/>
        </w:rPr>
      </w:pPr>
      <w:bookmarkStart w:id="1770" w:name="_Toc441247056"/>
      <w:bookmarkStart w:id="1771" w:name="_Toc27791"/>
      <w:bookmarkStart w:id="1772" w:name="_Toc8569"/>
      <w:bookmarkStart w:id="1773" w:name="_Toc13809"/>
      <w:bookmarkStart w:id="1774" w:name="_Toc23051"/>
      <w:bookmarkStart w:id="1775" w:name="_Toc472506217"/>
      <w:bookmarkStart w:id="1776" w:name="_Toc505070420"/>
      <w:bookmarkStart w:id="1777" w:name="_Toc27694"/>
      <w:bookmarkStart w:id="1778" w:name="_Toc31714"/>
      <w:bookmarkStart w:id="1779" w:name="_Toc27852"/>
      <w:bookmarkStart w:id="1780" w:name="_Toc31381"/>
      <w:bookmarkStart w:id="1781" w:name="_Toc18615"/>
      <w:bookmarkStart w:id="1782" w:name="_Toc16334"/>
      <w:bookmarkStart w:id="1783" w:name="_Toc2486"/>
      <w:bookmarkStart w:id="1784" w:name="_Toc1738"/>
      <w:bookmarkStart w:id="1785" w:name="_Toc5247"/>
      <w:bookmarkStart w:id="1786" w:name="_Toc5962"/>
      <w:bookmarkStart w:id="1787" w:name="_Toc13733"/>
      <w:bookmarkStart w:id="1788" w:name="_Toc3144"/>
      <w:bookmarkStart w:id="1789" w:name="_Toc23346"/>
      <w:bookmarkStart w:id="1790" w:name="_Toc445750302"/>
      <w:bookmarkStart w:id="1791" w:name="_Toc18687"/>
      <w:bookmarkStart w:id="1792" w:name="_Toc26650"/>
      <w:bookmarkStart w:id="1793" w:name="_Toc6099"/>
      <w:bookmarkStart w:id="1794" w:name="_Toc3676"/>
      <w:bookmarkStart w:id="1795" w:name="_Toc19705"/>
      <w:r>
        <w:rPr>
          <w:rFonts w:hint="eastAsia" w:ascii="黑体" w:hAnsi="宋体" w:eastAsia="黑体"/>
          <w:color w:val="000000" w:themeColor="text1"/>
          <w:kern w:val="3"/>
          <w:sz w:val="28"/>
          <w:szCs w:val="28"/>
        </w:rPr>
        <w:t>5.4.1.2工艺系统分析评价</w:t>
      </w:r>
      <w:bookmarkEnd w:id="1770"/>
      <w:bookmarkEnd w:id="1771"/>
      <w:bookmarkEnd w:id="1772"/>
      <w:bookmarkEnd w:id="1773"/>
      <w:bookmarkEnd w:id="1774"/>
      <w:bookmarkEnd w:id="1775"/>
      <w:bookmarkEnd w:id="1776"/>
      <w:bookmarkEnd w:id="1777"/>
      <w:bookmarkEnd w:id="1778"/>
      <w:bookmarkEnd w:id="1779"/>
    </w:p>
    <w:p>
      <w:pPr>
        <w:adjustRightInd w:val="0"/>
        <w:snapToGrid w:val="0"/>
        <w:jc w:val="center"/>
        <w:rPr>
          <w:color w:val="000000" w:themeColor="text1"/>
          <w:sz w:val="24"/>
        </w:rPr>
      </w:pPr>
      <w:r>
        <w:rPr>
          <w:color w:val="000000" w:themeColor="text1"/>
          <w:sz w:val="24"/>
        </w:rPr>
        <w:t>表5-9 工艺系统安全检查表</w:t>
      </w:r>
    </w:p>
    <w:tbl>
      <w:tblPr>
        <w:tblStyle w:val="52"/>
        <w:tblW w:w="94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2"/>
        <w:gridCol w:w="3360"/>
        <w:gridCol w:w="2163"/>
        <w:gridCol w:w="2554"/>
        <w:gridCol w:w="7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552"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序号</w:t>
            </w:r>
          </w:p>
        </w:tc>
        <w:tc>
          <w:tcPr>
            <w:tcW w:w="3360"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检查内容</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标准依据</w:t>
            </w:r>
          </w:p>
        </w:tc>
        <w:tc>
          <w:tcPr>
            <w:tcW w:w="2554"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实际情况</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检查结果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1</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 xml:space="preserve">汽油和柴油油罐车卸油必须采用密闭卸油方式。汽油油罐车应具有卸油油气回收系统。 </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第6.3.1条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该项目采用密闭卸车方式。</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2</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每个油罐应各自设置卸油管道和卸油接口。各卸油接口及油气回收接口，应有明显的标识。</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第6.3.2条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该项目的每个储罐均各自设置输送管道及输送口。</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rPr>
            </w:pPr>
            <w:r>
              <w:rPr>
                <w:color w:val="000000" w:themeColor="text1"/>
                <w:szCs w:val="21"/>
              </w:rPr>
              <w:t>3</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卸油接口应装设快速接头及密封盖。</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第6.3.3条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该项目设有快速接头及密封盖。</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rPr>
            </w:pPr>
            <w:r>
              <w:rPr>
                <w:color w:val="000000" w:themeColor="text1"/>
                <w:szCs w:val="21"/>
              </w:rPr>
              <w:t>7</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油罐的接合管设置应符合下列规定：1.接合管应为金属材质。2.接合管应设在油罐的顶部，其中进油接合管、出油接合管或潜油泵安装口，应设在人孔盖上。3.进油管应伸至罐内距罐底50mm～100mm处。进油立管的底端应为45°斜管口或T形管口。进油管管壁上不得有与油罐气相空间相通的开口。4.罐内潜油泵的入油口或通往自吸式加油机管道的罐内底阀，应高于罐底150mm～200mm。5.油罐的量油孔应设带锁的量油帽。量油孔下部的接合管宜向下伸至罐内距罐底200mm处，并应有检尺时使接合管内液位与罐内液位相一致的技术措施。6.油罐人孔井内的管道及设备，应保证油罐人孔盖的可拆装性。7.人孔盖上的接合管与引出井外管道的连接，宜采用金属软管过渡连接（包括潜油泵出油管）。</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第6.3.8条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该项目的接合管为金属材质；接合管设置在储罐的顶部，其中进口接合管、出口接合管均设在人孔盖上；进口管伸至罐内距罐底0.1m处。</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rPr>
            </w:pPr>
            <w:r>
              <w:rPr>
                <w:color w:val="000000" w:themeColor="text1"/>
                <w:szCs w:val="21"/>
              </w:rPr>
              <w:t>8</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汽油罐与柴油罐的通气管应分开设置。通气管管口高出地面的高度不应小于4m。沿建（构）筑物的墙（柱）向上敷设的通气管，其管口应高出建筑物的顶面1.5m及以上。通气管管口应设置阻火器。</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第6.3.9条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每个储罐单独设置通气管，通气管高出地面4m，通气管的公称直径为50mm，管口安装了阻火器。</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rPr>
            </w:pPr>
            <w:r>
              <w:rPr>
                <w:color w:val="000000" w:themeColor="text1"/>
                <w:szCs w:val="21"/>
              </w:rPr>
              <w:t>9</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通气管的公称直径不应小于50mm。</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第6.3.10条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通气管的公称直径为50mm。</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rPr>
            </w:pPr>
            <w:r>
              <w:rPr>
                <w:color w:val="000000" w:themeColor="text1"/>
                <w:szCs w:val="21"/>
              </w:rPr>
              <w:t>10</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加油站工艺管道的选用，应符合下列规定：1）油罐通气管道和露出地面的管道，应采用符合现行国家标准《输送流体用无缝钢管》GB/T 8163的无缝钢管；2）其他管道应采用输送流体用无缝钢管或适于输送油品的热塑性塑料管道。所采用的热塑性塑料管道应有质量证明文件。非烃类车用燃料不得采用不导静电的热塑性塑料管道；3）无缝钢管的公称壁厚不应小于4mm，埋地钢管的连接应采用焊接；4）热塑性塑料管道的主体结构层应为无孔隙聚乙烯材料，壁厚不应小于4mm。埋地部分的热塑性塑料管道应采用配套的专用连接管件电熔连接；5）导静电热塑性塑料管道导静电衬层的体电阻率应小于10</w:t>
            </w:r>
            <w:r>
              <w:rPr>
                <w:color w:val="000000" w:themeColor="text1"/>
                <w:szCs w:val="21"/>
                <w:vertAlign w:val="superscript"/>
              </w:rPr>
              <w:t>8</w:t>
            </w:r>
            <w:r>
              <w:rPr>
                <w:color w:val="000000" w:themeColor="text1"/>
                <w:szCs w:val="21"/>
              </w:rPr>
              <w:t>Ω•m，表面电阻率应小于10</w:t>
            </w:r>
            <w:r>
              <w:rPr>
                <w:color w:val="000000" w:themeColor="text1"/>
                <w:szCs w:val="21"/>
                <w:vertAlign w:val="superscript"/>
              </w:rPr>
              <w:t>10</w:t>
            </w:r>
            <w:r>
              <w:rPr>
                <w:color w:val="000000" w:themeColor="text1"/>
                <w:szCs w:val="21"/>
              </w:rPr>
              <w:t>Ω；6）不导静电热塑性塑料管道主体结构层的介电击穿强度应大于100kV；7）柴油尾气处理液加注设备的管道，应采用奥氏体不锈钢管道或能满足输送柴油尾气处理液的其他管道。</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第6.3.12条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该项目通气管和露出地面的管道采用符合现行国家标准《输送流体用无缝钢管》（GB/T8163）的无缝钢管，无缝钢管的公称壁厚符合要求，埋地钢管的连接采用焊接。</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rPr>
            </w:pPr>
            <w:r>
              <w:rPr>
                <w:color w:val="000000" w:themeColor="text1"/>
                <w:szCs w:val="21"/>
              </w:rPr>
              <w:t>11</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油罐车卸油时用的卸油连通软管、油气回收连通软管，应采用导静电耐油软管，其体电阻率应小于10</w:t>
            </w:r>
            <w:r>
              <w:rPr>
                <w:color w:val="000000" w:themeColor="text1"/>
                <w:szCs w:val="21"/>
                <w:vertAlign w:val="superscript"/>
              </w:rPr>
              <w:t>8</w:t>
            </w:r>
            <w:r>
              <w:rPr>
                <w:color w:val="000000" w:themeColor="text1"/>
                <w:szCs w:val="21"/>
              </w:rPr>
              <w:t>Ω•m，表面电阻率应小于10</w:t>
            </w:r>
            <w:r>
              <w:rPr>
                <w:color w:val="000000" w:themeColor="text1"/>
                <w:szCs w:val="21"/>
                <w:vertAlign w:val="superscript"/>
              </w:rPr>
              <w:t>10</w:t>
            </w:r>
            <w:r>
              <w:rPr>
                <w:color w:val="000000" w:themeColor="text1"/>
                <w:szCs w:val="21"/>
              </w:rPr>
              <w:t>Ω，或采用内附金属丝（网）的橡胶软管。</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第6.3.13条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该项目卸车时用的卸甲醇连通软管采用导静电耐油胶管，电阻率符合要求。</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rPr>
            </w:pPr>
            <w:r>
              <w:rPr>
                <w:color w:val="000000" w:themeColor="text1"/>
                <w:szCs w:val="21"/>
              </w:rPr>
              <w:t>12</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加油站内的工艺管道除必须露出地面的以外，均应埋地敷设。当采用管沟敷设时，管沟必须用中性沙子或细土填满、填实。</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第6.3.14条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该项目的工艺管道除必须露出地面的以外，均埋地敷设。</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rPr>
            </w:pPr>
            <w:r>
              <w:rPr>
                <w:color w:val="000000" w:themeColor="text1"/>
                <w:szCs w:val="21"/>
              </w:rPr>
              <w:t>13</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卸油管道、卸油油气回收管道、加油油气回收管道和油罐通气管横管，应坡向埋地油罐。卸油管道的坡度不应小于2‰，卸油油气回收管道、加油油气回收管道和油罐通气管横管的坡度，不应小于1%。</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第6.3.16条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该项目卸甲醇管道的坡度约为2‰，储罐通气管横管的坡度约为1%。</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rPr>
            </w:pPr>
            <w:r>
              <w:rPr>
                <w:color w:val="000000" w:themeColor="text1"/>
                <w:szCs w:val="21"/>
              </w:rPr>
              <w:t>14</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埋地工艺管道的埋设深度不得小于0.4m。敷设在混凝土场地或道路下面的管道，管顶低于混凝土层下表面不得小于0.2m。管道周围应回填不小于100mm厚的中性沙子或细土。</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第6.3.17条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埋地工艺管道的埋设深度约为0.4m。敷设在混凝土场地或道路下面的管道，管顶低于混凝土层下表面0.2m。管道周围回填约0.1m的中性细土。</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rPr>
            </w:pPr>
            <w:r>
              <w:rPr>
                <w:color w:val="000000" w:themeColor="text1"/>
                <w:szCs w:val="21"/>
              </w:rPr>
              <w:t>15</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工艺管道不应穿过或跨越站房等与其无直接关系的建（构）筑物；与管沟、电缆沟和排水沟相交叉时，应采取相应的防护措施。</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第6.3.18条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工艺管道未穿过或跨越站房等与其无关的建（构）筑物。与管沟、和排水沟交叉时，采取必要的保护措施。</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rPr>
            </w:pPr>
            <w:r>
              <w:rPr>
                <w:color w:val="000000" w:themeColor="text1"/>
                <w:szCs w:val="21"/>
              </w:rPr>
              <w:t>14</w:t>
            </w:r>
          </w:p>
        </w:tc>
        <w:tc>
          <w:tcPr>
            <w:tcW w:w="336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埋地钢质管道外表面的防腐设计，应符合现行国家标准《钢质管道外腐蚀控制规范》GB/T21447的有关规定。</w:t>
            </w:r>
          </w:p>
        </w:tc>
        <w:tc>
          <w:tcPr>
            <w:tcW w:w="21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第6.3.20条</w:t>
            </w:r>
          </w:p>
        </w:tc>
        <w:tc>
          <w:tcPr>
            <w:tcW w:w="2554"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钢质管道的外表面埋地前已进行了相关的防护处理，符合《钢质管道外腐蚀控制规范》的要求。</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bl>
    <w:p>
      <w:pPr>
        <w:pStyle w:val="19"/>
        <w:spacing w:afterLines="100" w:line="500" w:lineRule="exact"/>
        <w:rPr>
          <w:rFonts w:ascii="黑体" w:hAnsi="宋体" w:eastAsia="黑体"/>
          <w:color w:val="000000" w:themeColor="text1"/>
          <w:kern w:val="3"/>
          <w:sz w:val="28"/>
          <w:szCs w:val="28"/>
        </w:rPr>
      </w:pPr>
      <w:bookmarkStart w:id="1796" w:name="_Toc32429"/>
      <w:bookmarkStart w:id="1797" w:name="_Toc1630"/>
      <w:bookmarkStart w:id="1798" w:name="_Toc14703"/>
      <w:bookmarkStart w:id="1799" w:name="_Toc16950"/>
      <w:bookmarkStart w:id="1800" w:name="_Toc30723"/>
      <w:bookmarkStart w:id="1801" w:name="_Toc8960"/>
      <w:bookmarkStart w:id="1802" w:name="_Toc29643"/>
      <w:bookmarkStart w:id="1803" w:name="_Toc12323"/>
      <w:bookmarkStart w:id="1804" w:name="_Toc26802"/>
      <w:bookmarkStart w:id="1805" w:name="_Toc13392"/>
      <w:r>
        <w:rPr>
          <w:rFonts w:hint="eastAsia" w:ascii="黑体" w:hAnsi="宋体" w:eastAsia="黑体"/>
          <w:color w:val="000000" w:themeColor="text1"/>
          <w:kern w:val="3"/>
          <w:sz w:val="28"/>
          <w:szCs w:val="28"/>
        </w:rPr>
        <w:t>5.4.2评价单元小结</w:t>
      </w:r>
      <w:bookmarkEnd w:id="1796"/>
      <w:bookmarkEnd w:id="1797"/>
      <w:bookmarkEnd w:id="1798"/>
      <w:bookmarkEnd w:id="1799"/>
      <w:bookmarkEnd w:id="1800"/>
      <w:bookmarkEnd w:id="1801"/>
      <w:bookmarkEnd w:id="1802"/>
      <w:bookmarkEnd w:id="1803"/>
      <w:bookmarkEnd w:id="1804"/>
      <w:bookmarkEnd w:id="1805"/>
    </w:p>
    <w:p>
      <w:pPr>
        <w:adjustRightInd w:val="0"/>
        <w:snapToGrid w:val="0"/>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由上述分析评价结果可知，</w:t>
      </w:r>
      <w:r>
        <w:rPr>
          <w:rFonts w:hint="eastAsia" w:eastAsiaTheme="minorEastAsia"/>
          <w:snapToGrid w:val="0"/>
          <w:color w:val="000000" w:themeColor="text1"/>
          <w:kern w:val="0"/>
          <w:sz w:val="28"/>
          <w:szCs w:val="28"/>
        </w:rPr>
        <w:t>该项目</w:t>
      </w:r>
      <w:r>
        <w:rPr>
          <w:rFonts w:eastAsiaTheme="minorEastAsia"/>
          <w:snapToGrid w:val="0"/>
          <w:color w:val="000000" w:themeColor="text1"/>
          <w:kern w:val="0"/>
          <w:sz w:val="28"/>
          <w:szCs w:val="28"/>
        </w:rPr>
        <w:t>埋地甲醇罐操作井盖无介质流向标识；未采用声光报警器；</w:t>
      </w:r>
      <w:r>
        <w:rPr>
          <w:rFonts w:hint="eastAsia" w:eastAsiaTheme="minorEastAsia"/>
          <w:snapToGrid w:val="0"/>
          <w:color w:val="000000" w:themeColor="text1"/>
          <w:kern w:val="0"/>
          <w:sz w:val="28"/>
          <w:szCs w:val="28"/>
        </w:rPr>
        <w:t>液位仪失效</w:t>
      </w:r>
      <w:r>
        <w:rPr>
          <w:rFonts w:eastAsiaTheme="minorEastAsia"/>
          <w:snapToGrid w:val="0"/>
          <w:color w:val="000000" w:themeColor="text1"/>
          <w:kern w:val="0"/>
          <w:sz w:val="28"/>
          <w:szCs w:val="28"/>
        </w:rPr>
        <w:t>；消防沙池消防铲等配备不足；消防沙池有杂草，需要及时清除；卸</w:t>
      </w:r>
      <w:r>
        <w:rPr>
          <w:rFonts w:hint="eastAsia" w:eastAsiaTheme="minorEastAsia"/>
          <w:snapToGrid w:val="0"/>
          <w:color w:val="000000" w:themeColor="text1"/>
          <w:kern w:val="0"/>
          <w:sz w:val="28"/>
          <w:szCs w:val="28"/>
        </w:rPr>
        <w:t>车区域有积水及杂物外</w:t>
      </w:r>
      <w:r>
        <w:rPr>
          <w:rFonts w:eastAsiaTheme="minorEastAsia"/>
          <w:snapToGrid w:val="0"/>
          <w:color w:val="000000" w:themeColor="text1"/>
          <w:kern w:val="0"/>
          <w:sz w:val="28"/>
          <w:szCs w:val="28"/>
        </w:rPr>
        <w:t>，该项目甲醇储存工艺设备、设施符合《汽车加油加气加氢站技术标准》（GB50156-2021）</w:t>
      </w:r>
      <w:r>
        <w:rPr>
          <w:rFonts w:hint="eastAsia" w:eastAsiaTheme="minorEastAsia"/>
          <w:snapToGrid w:val="0"/>
          <w:color w:val="000000" w:themeColor="text1"/>
          <w:kern w:val="0"/>
          <w:sz w:val="28"/>
          <w:szCs w:val="28"/>
        </w:rPr>
        <w:t>中的</w:t>
      </w:r>
      <w:r>
        <w:rPr>
          <w:rFonts w:eastAsiaTheme="minorEastAsia"/>
          <w:snapToGrid w:val="0"/>
          <w:color w:val="000000" w:themeColor="text1"/>
          <w:kern w:val="0"/>
          <w:sz w:val="28"/>
          <w:szCs w:val="28"/>
        </w:rPr>
        <w:t>要求。</w:t>
      </w:r>
    </w:p>
    <w:p>
      <w:pPr>
        <w:pStyle w:val="19"/>
        <w:spacing w:afterLines="100" w:line="500" w:lineRule="exact"/>
        <w:jc w:val="center"/>
        <w:rPr>
          <w:rFonts w:ascii="楷体_GB2312" w:hAnsi="宋体" w:eastAsia="楷体_GB2312"/>
          <w:color w:val="000000" w:themeColor="text1"/>
          <w:kern w:val="3"/>
        </w:rPr>
      </w:pPr>
      <w:bookmarkStart w:id="1806" w:name="_Toc11125_WPSOffice_Level2"/>
      <w:r>
        <w:rPr>
          <w:rFonts w:hint="eastAsia" w:ascii="楷体_GB2312" w:hAnsi="宋体" w:eastAsia="楷体_GB2312"/>
          <w:color w:val="000000" w:themeColor="text1"/>
          <w:kern w:val="3"/>
        </w:rPr>
        <w:t>5.5公辅</w:t>
      </w:r>
      <w:r>
        <w:rPr>
          <w:rFonts w:hint="eastAsia" w:ascii="楷体_GB2312" w:hAnsi="宋体" w:eastAsia="楷体_GB2312"/>
          <w:color w:val="000000" w:themeColor="text1"/>
          <w:kern w:val="3"/>
          <w:lang w:val="en-US" w:eastAsia="zh-CN"/>
        </w:rPr>
        <w:t>设施</w:t>
      </w:r>
      <w:r>
        <w:rPr>
          <w:rFonts w:hint="eastAsia" w:ascii="楷体_GB2312" w:hAnsi="宋体" w:eastAsia="楷体_GB2312"/>
          <w:color w:val="000000" w:themeColor="text1"/>
          <w:kern w:val="3"/>
        </w:rPr>
        <w:t>评价单元</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806"/>
    </w:p>
    <w:p>
      <w:pPr>
        <w:pStyle w:val="19"/>
        <w:spacing w:afterLines="100" w:line="500" w:lineRule="exact"/>
        <w:rPr>
          <w:rFonts w:ascii="黑体" w:hAnsi="宋体" w:eastAsia="黑体"/>
          <w:color w:val="000000" w:themeColor="text1"/>
          <w:kern w:val="3"/>
          <w:sz w:val="28"/>
          <w:szCs w:val="28"/>
        </w:rPr>
      </w:pPr>
      <w:bookmarkStart w:id="1807" w:name="_Toc8965"/>
      <w:bookmarkStart w:id="1808" w:name="_Toc19733"/>
      <w:bookmarkStart w:id="1809" w:name="_Toc24388"/>
      <w:bookmarkStart w:id="1810" w:name="_Toc21125"/>
      <w:bookmarkStart w:id="1811" w:name="_Toc24369"/>
      <w:bookmarkStart w:id="1812" w:name="_Toc5771"/>
      <w:bookmarkStart w:id="1813" w:name="_Toc2684"/>
      <w:bookmarkStart w:id="1814" w:name="_Toc18602"/>
      <w:bookmarkStart w:id="1815" w:name="_Toc6083"/>
      <w:bookmarkStart w:id="1816" w:name="_Toc445750303"/>
      <w:bookmarkStart w:id="1817" w:name="_Toc31569"/>
      <w:r>
        <w:rPr>
          <w:rFonts w:hint="eastAsia" w:ascii="黑体" w:hAnsi="宋体" w:eastAsia="黑体"/>
          <w:color w:val="000000" w:themeColor="text1"/>
          <w:kern w:val="3"/>
          <w:sz w:val="28"/>
          <w:szCs w:val="28"/>
        </w:rPr>
        <w:t>5.5.1供配电评价子单元安全检查表</w:t>
      </w:r>
      <w:bookmarkEnd w:id="1807"/>
      <w:bookmarkEnd w:id="1808"/>
      <w:bookmarkEnd w:id="1809"/>
      <w:bookmarkEnd w:id="1810"/>
      <w:bookmarkEnd w:id="1811"/>
      <w:bookmarkEnd w:id="1812"/>
      <w:bookmarkEnd w:id="1813"/>
      <w:bookmarkEnd w:id="1814"/>
      <w:bookmarkEnd w:id="1815"/>
      <w:bookmarkEnd w:id="1816"/>
      <w:bookmarkEnd w:id="1817"/>
    </w:p>
    <w:p>
      <w:pPr>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根据《低压配电设计规范》（GB50054-2011）、《汽车加油加气加氢站技术标准》（GB50156-2021）、《加油加气站视频安防监控系统技术要求》（AQT3050-2013）、《通用用电设备配电设计规范》（GB50055-2011）、《20kV及以下变电所设计规范》（GB50053-2013）、《用电安全导则》（GB/T 13869-2017）等标准、规范的要求，对该项目供配电装置进行安全分析评价，具体情况如下表所示：</w:t>
      </w:r>
    </w:p>
    <w:p>
      <w:pPr>
        <w:spacing w:beforeLines="50"/>
        <w:jc w:val="center"/>
        <w:rPr>
          <w:rFonts w:asciiTheme="minorEastAsia" w:hAnsiTheme="minorEastAsia" w:eastAsiaTheme="minorEastAsia"/>
          <w:color w:val="000000" w:themeColor="text1"/>
          <w:kern w:val="0"/>
          <w:sz w:val="28"/>
          <w:szCs w:val="28"/>
        </w:rPr>
      </w:pPr>
      <w:r>
        <w:rPr>
          <w:rFonts w:asciiTheme="minorEastAsia" w:hAnsiTheme="minorEastAsia" w:eastAsiaTheme="minorEastAsia"/>
          <w:color w:val="000000" w:themeColor="text1"/>
          <w:sz w:val="24"/>
        </w:rPr>
        <w:t>表</w:t>
      </w:r>
      <w:r>
        <w:rPr>
          <w:rFonts w:hint="eastAsia" w:asciiTheme="minorEastAsia" w:hAnsiTheme="minorEastAsia" w:eastAsiaTheme="minorEastAsia"/>
          <w:color w:val="000000" w:themeColor="text1"/>
          <w:sz w:val="24"/>
        </w:rPr>
        <w:t>5-10 供配电安全检查表</w:t>
      </w:r>
    </w:p>
    <w:tbl>
      <w:tblPr>
        <w:tblStyle w:val="52"/>
        <w:tblW w:w="94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4"/>
        <w:gridCol w:w="3210"/>
        <w:gridCol w:w="2316"/>
        <w:gridCol w:w="2639"/>
        <w:gridCol w:w="7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464"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序号</w:t>
            </w:r>
          </w:p>
        </w:tc>
        <w:tc>
          <w:tcPr>
            <w:tcW w:w="3210"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检查内容</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标准依据</w:t>
            </w:r>
          </w:p>
        </w:tc>
        <w:tc>
          <w:tcPr>
            <w:tcW w:w="2639"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实际情况</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检查结果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401" w:type="dxa"/>
            <w:gridSpan w:val="5"/>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供配电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17"/>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汽车加油加气加氢站的消防泵房、罩棚、营业室、LPG 泵房、压缩机间等处均应设应急照明， 连续供电时间不应少于90 min 。</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《汽车加油加气加氢站技术标准》（GB50156-2021）第13.1.3条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该项目辅助用房设置了应急照明灯。</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17"/>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加油站的电力线路宜采用电缆并直埋敷设。电缆穿越行车道部分应穿钢管保护。</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w:t>
            </w:r>
          </w:p>
          <w:p>
            <w:pPr>
              <w:jc w:val="center"/>
              <w:rPr>
                <w:color w:val="000000" w:themeColor="text1"/>
                <w:szCs w:val="21"/>
              </w:rPr>
            </w:pPr>
            <w:r>
              <w:rPr>
                <w:color w:val="000000" w:themeColor="text1"/>
                <w:szCs w:val="21"/>
              </w:rPr>
              <w:t>第13.1.5条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该项目的电力线路采用电缆直埋敷设，穿越行车道部分穿钢管保护。</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17"/>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jc w:val="left"/>
              <w:rPr>
                <w:color w:val="000000" w:themeColor="text1"/>
                <w:szCs w:val="21"/>
              </w:rPr>
            </w:pPr>
            <w:r>
              <w:rPr>
                <w:color w:val="000000" w:themeColor="text1"/>
                <w:szCs w:val="21"/>
              </w:rPr>
              <w:t>爆炸危险区域内的电气设备选型安装、电力线路敷设等。应符合《爆炸和火灾危险环境电力装置设计规范》GB50058的规定。</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《汽车加油加气加氢站技术标准》（GB50156-2021）第13.1.7条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有爆炸危险的区域电气设备和电气线路的设置符合要求。</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17"/>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配电室不宜设置在建筑室地下室最低层。设置在地下室最低层时，应采取防止水进入措施。</w:t>
            </w:r>
          </w:p>
        </w:tc>
        <w:tc>
          <w:tcPr>
            <w:tcW w:w="2316"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《低压配电设计规范》（GB50054-2011）第4.3.8条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配电室未设置在建筑地下室最低层。</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17"/>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电动机的工作制、额定功率、堵转、转矩、最小转矩、最大转矩、转速及其调节范围等电气和机械参数，应满足电动机所拖动的机械以下简称机械在各种运行方式下的要求。</w:t>
            </w:r>
          </w:p>
        </w:tc>
        <w:tc>
          <w:tcPr>
            <w:tcW w:w="2316"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《通用用电设备配电设计规范》（GB50055-2011）</w:t>
            </w:r>
          </w:p>
          <w:p>
            <w:pPr>
              <w:jc w:val="center"/>
              <w:rPr>
                <w:color w:val="000000" w:themeColor="text1"/>
                <w:szCs w:val="21"/>
              </w:rPr>
            </w:pPr>
            <w:r>
              <w:rPr>
                <w:color w:val="000000" w:themeColor="text1"/>
                <w:szCs w:val="21"/>
              </w:rPr>
              <w:t>第2.1.1条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该项目电动机的工作制、额定功率、堵转、转速等电气和机械参数，符合要求。</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17"/>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kern w:val="0"/>
                <w:szCs w:val="21"/>
              </w:rPr>
              <w:t>电动机的防护型式应符合安装场所的环境条件。</w:t>
            </w:r>
          </w:p>
        </w:tc>
        <w:tc>
          <w:tcPr>
            <w:tcW w:w="2316"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《通用用电设备配电设计规范》（GB50055-2011）</w:t>
            </w:r>
          </w:p>
          <w:p>
            <w:pPr>
              <w:jc w:val="center"/>
              <w:rPr>
                <w:color w:val="000000" w:themeColor="text1"/>
                <w:szCs w:val="21"/>
              </w:rPr>
            </w:pPr>
            <w:r>
              <w:rPr>
                <w:color w:val="000000" w:themeColor="text1"/>
                <w:szCs w:val="21"/>
              </w:rPr>
              <w:t>第2.1.5条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kern w:val="0"/>
                <w:szCs w:val="21"/>
              </w:rPr>
              <w:t>该项目电动机的防护型式</w:t>
            </w:r>
            <w:r>
              <w:rPr>
                <w:color w:val="000000" w:themeColor="text1"/>
                <w:szCs w:val="21"/>
              </w:rPr>
              <w:t>符合要求。</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17"/>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kern w:val="21"/>
                <w:szCs w:val="21"/>
              </w:rPr>
              <w:t>一般环境下，用电产品以及电气线路的周围应留有足够的安全通道和工作空间，且不应堆放易燃、易爆和腐蚀性物品。</w:t>
            </w:r>
          </w:p>
        </w:tc>
        <w:tc>
          <w:tcPr>
            <w:tcW w:w="2316"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《用电安全导则》（GB/T13869-2017）</w:t>
            </w:r>
          </w:p>
          <w:p>
            <w:pPr>
              <w:jc w:val="center"/>
              <w:rPr>
                <w:color w:val="000000" w:themeColor="text1"/>
                <w:szCs w:val="21"/>
              </w:rPr>
            </w:pPr>
            <w:r>
              <w:rPr>
                <w:color w:val="000000" w:themeColor="text1"/>
                <w:szCs w:val="21"/>
              </w:rPr>
              <w:t>第5.1.1条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用电设备和电气线路周围有足够的安全通道和工作空间。</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17"/>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配电室、电容器室和各辅助房间的内墙表面应抹灰刷白。地（楼）面宜采用高标号水泥抹面压光。配电室、变压器室、电容器室的顶棚以及变压器室的内墙面应刷白。</w:t>
            </w:r>
          </w:p>
        </w:tc>
        <w:tc>
          <w:tcPr>
            <w:tcW w:w="2316"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snapToGrid w:val="0"/>
                <w:color w:val="000000" w:themeColor="text1"/>
                <w:kern w:val="0"/>
                <w:szCs w:val="21"/>
              </w:rPr>
              <w:t>《20kV及以下变电所设计规范》（GB50053-2013）</w:t>
            </w:r>
          </w:p>
          <w:p>
            <w:pPr>
              <w:jc w:val="center"/>
              <w:rPr>
                <w:color w:val="000000" w:themeColor="text1"/>
                <w:szCs w:val="21"/>
              </w:rPr>
            </w:pPr>
            <w:r>
              <w:rPr>
                <w:color w:val="000000" w:themeColor="text1"/>
                <w:szCs w:val="21"/>
              </w:rPr>
              <w:t>第6.2.5条</w:t>
            </w:r>
          </w:p>
        </w:tc>
        <w:tc>
          <w:tcPr>
            <w:tcW w:w="2639" w:type="dxa"/>
            <w:tcBorders>
              <w:top w:val="single" w:color="auto" w:sz="4" w:space="0"/>
              <w:left w:val="single" w:color="auto" w:sz="4" w:space="0"/>
              <w:bottom w:val="single" w:color="auto" w:sz="4" w:space="0"/>
              <w:right w:val="single" w:color="auto" w:sz="4" w:space="0"/>
            </w:tcBorders>
            <w:vAlign w:val="center"/>
          </w:tcPr>
          <w:p>
            <w:pPr>
              <w:jc w:val="left"/>
              <w:rPr>
                <w:color w:val="000000" w:themeColor="text1"/>
                <w:szCs w:val="21"/>
              </w:rPr>
            </w:pPr>
            <w:r>
              <w:rPr>
                <w:color w:val="000000" w:themeColor="text1"/>
                <w:szCs w:val="21"/>
              </w:rPr>
              <w:t>该项目未设置配电室，只设置了配电箱</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不涉及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401" w:type="dxa"/>
            <w:gridSpan w:val="5"/>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b/>
                <w:color w:val="000000" w:themeColor="text1"/>
                <w:szCs w:val="21"/>
              </w:rPr>
              <w:t>视频监控系统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18"/>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加油加气站进、出口应分别配置一台高分辨率智能一体化摄像机，应能广角监控加油加气站进、出口整体情况，包括：汽车车型，汽车驶入、驶出的路径，行人走入、走出的动作、行为。该摄像机应具备车辆牌照和车型的识别功能。</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《加油加气站视频安防监控系统技术要求》（AQT3050-2013）第6.2.2.1条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bCs/>
                <w:color w:val="000000" w:themeColor="text1"/>
                <w:szCs w:val="21"/>
              </w:rPr>
              <w:t>该项目操作场设置了摄像头，能观察储罐区的运行情况。</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Cs w:val="21"/>
              </w:rPr>
            </w:pPr>
            <w:r>
              <w:rPr>
                <w:bCs/>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18"/>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应配备UPS电源。在市电中断条件下，应能支持平台和前端信息采集设施工作2h。</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《加油加气站视频安防监控系统技术要求》（AQT3050-2013）第6.1.1.2条</w:t>
            </w:r>
          </w:p>
        </w:tc>
        <w:tc>
          <w:tcPr>
            <w:tcW w:w="2639" w:type="dxa"/>
            <w:tcBorders>
              <w:top w:val="single" w:color="auto" w:sz="4" w:space="0"/>
              <w:left w:val="single" w:color="auto" w:sz="4" w:space="0"/>
              <w:bottom w:val="single" w:color="auto" w:sz="4" w:space="0"/>
              <w:right w:val="single" w:color="auto" w:sz="4" w:space="0"/>
            </w:tcBorders>
            <w:vAlign w:val="center"/>
          </w:tcPr>
          <w:p>
            <w:pPr>
              <w:rPr>
                <w:bCs/>
                <w:color w:val="000000" w:themeColor="text1"/>
                <w:szCs w:val="21"/>
              </w:rPr>
            </w:pPr>
            <w:r>
              <w:rPr>
                <w:bCs/>
                <w:color w:val="000000" w:themeColor="text1"/>
                <w:szCs w:val="21"/>
              </w:rPr>
              <w:t>该项目未配备UPS电源。</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Cs w:val="21"/>
              </w:rPr>
            </w:pPr>
            <w:r>
              <w:rPr>
                <w:bCs/>
                <w:color w:val="000000" w:themeColor="text1"/>
                <w:szCs w:val="21"/>
              </w:rPr>
              <w:t>不符合</w:t>
            </w:r>
          </w:p>
        </w:tc>
      </w:tr>
    </w:tbl>
    <w:p>
      <w:pPr>
        <w:spacing w:line="500" w:lineRule="exact"/>
        <w:ind w:firstLine="560" w:firstLineChars="200"/>
        <w:rPr>
          <w:rFonts w:eastAsiaTheme="minorEastAsia"/>
          <w:snapToGrid w:val="0"/>
          <w:color w:val="000000" w:themeColor="text1"/>
          <w:kern w:val="0"/>
          <w:sz w:val="28"/>
          <w:szCs w:val="28"/>
        </w:rPr>
      </w:pPr>
      <w:bookmarkStart w:id="1818" w:name="_Toc30715"/>
      <w:bookmarkStart w:id="1819" w:name="_Toc13690"/>
      <w:bookmarkStart w:id="1820" w:name="_Toc28734"/>
      <w:bookmarkStart w:id="1821" w:name="_Toc2359"/>
      <w:bookmarkStart w:id="1822" w:name="_Toc503"/>
      <w:bookmarkStart w:id="1823" w:name="_Toc8574"/>
      <w:bookmarkStart w:id="1824" w:name="_Toc17436"/>
      <w:bookmarkStart w:id="1825" w:name="_Toc19137"/>
      <w:bookmarkStart w:id="1826" w:name="_Toc6482"/>
      <w:bookmarkStart w:id="1827" w:name="_Toc14690"/>
      <w:r>
        <w:rPr>
          <w:rFonts w:eastAsiaTheme="minorEastAsia"/>
          <w:snapToGrid w:val="0"/>
          <w:color w:val="000000" w:themeColor="text1"/>
          <w:kern w:val="0"/>
          <w:sz w:val="28"/>
          <w:szCs w:val="28"/>
        </w:rPr>
        <w:t>由上表检查结果可知，评价组现场检查时，该项目供配电系统除视频监控系统无UPS电源外，其余均符合《低压配电设计规范》（GB50054-2011）、《汽车加油加气加氢站技术标准》（GB50156-2021）、《加油加气站视频安防监控系统技术要求》（AQT3050-2013）、《通用用电设备配电设计规范》（GB50055-2011）、《20kV及以下变电所设计规范》（GB50053-2013）、《用电安全导则》（GB/T 13869-2017）等标准、规范的要求。</w:t>
      </w: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5.5.2 消防</w:t>
      </w:r>
      <w:r>
        <w:rPr>
          <w:rFonts w:hint="eastAsia" w:ascii="黑体" w:hAnsi="宋体" w:eastAsia="黑体"/>
          <w:color w:val="000000" w:themeColor="text1"/>
          <w:kern w:val="3"/>
          <w:sz w:val="28"/>
          <w:szCs w:val="28"/>
          <w:lang w:eastAsia="zh-CN"/>
        </w:rPr>
        <w:t>、</w:t>
      </w:r>
      <w:r>
        <w:rPr>
          <w:rFonts w:hint="eastAsia" w:ascii="黑体" w:hAnsi="宋体" w:eastAsia="黑体"/>
          <w:color w:val="000000" w:themeColor="text1"/>
          <w:kern w:val="3"/>
          <w:sz w:val="28"/>
          <w:szCs w:val="28"/>
        </w:rPr>
        <w:t>给排水评价子单元安全检查表</w:t>
      </w:r>
      <w:bookmarkEnd w:id="1818"/>
      <w:bookmarkEnd w:id="1819"/>
      <w:bookmarkEnd w:id="1820"/>
      <w:bookmarkEnd w:id="1821"/>
      <w:bookmarkEnd w:id="1822"/>
      <w:bookmarkEnd w:id="1823"/>
      <w:bookmarkEnd w:id="1824"/>
      <w:bookmarkEnd w:id="1825"/>
      <w:bookmarkEnd w:id="1826"/>
      <w:bookmarkEnd w:id="1827"/>
    </w:p>
    <w:p>
      <w:pPr>
        <w:adjustRightInd w:val="0"/>
        <w:snapToGrid w:val="0"/>
        <w:spacing w:line="500" w:lineRule="exact"/>
        <w:ind w:firstLine="560" w:firstLineChars="200"/>
        <w:rPr>
          <w:rFonts w:eastAsiaTheme="minorEastAsia"/>
          <w:color w:val="000000" w:themeColor="text1"/>
          <w:sz w:val="28"/>
          <w:szCs w:val="28"/>
        </w:rPr>
      </w:pPr>
      <w:r>
        <w:rPr>
          <w:rFonts w:eastAsiaTheme="minorEastAsia"/>
          <w:snapToGrid w:val="0"/>
          <w:color w:val="000000" w:themeColor="text1"/>
          <w:kern w:val="0"/>
          <w:sz w:val="28"/>
          <w:szCs w:val="28"/>
        </w:rPr>
        <w:t>根据《建筑灭火器配置设计规范》（GB50140-2005）、《汽车加油加气加氢站技术标准》（GB50156-2021）、《云南省消防条例》（2001年3月29日省九届人大常委会第二十一次会议通过）等</w:t>
      </w:r>
      <w:r>
        <w:rPr>
          <w:rFonts w:hint="eastAsia" w:eastAsiaTheme="minorEastAsia"/>
          <w:snapToGrid w:val="0"/>
          <w:color w:val="000000" w:themeColor="text1"/>
          <w:kern w:val="0"/>
          <w:sz w:val="28"/>
          <w:szCs w:val="28"/>
        </w:rPr>
        <w:t>法规、</w:t>
      </w:r>
      <w:r>
        <w:rPr>
          <w:rFonts w:eastAsiaTheme="minorEastAsia"/>
          <w:snapToGrid w:val="0"/>
          <w:color w:val="000000" w:themeColor="text1"/>
          <w:kern w:val="0"/>
          <w:sz w:val="28"/>
          <w:szCs w:val="28"/>
        </w:rPr>
        <w:t>标准规范的要求，对该项目消防及给排水进行安全分析评价，具体情况如下表所示</w:t>
      </w:r>
      <w:r>
        <w:rPr>
          <w:rFonts w:eastAsiaTheme="minorEastAsia"/>
          <w:color w:val="000000" w:themeColor="text1"/>
          <w:sz w:val="28"/>
          <w:szCs w:val="28"/>
        </w:rPr>
        <w:t>：</w:t>
      </w:r>
    </w:p>
    <w:p>
      <w:pPr>
        <w:adjustRightInd w:val="0"/>
        <w:snapToGrid w:val="0"/>
        <w:spacing w:line="500" w:lineRule="exact"/>
        <w:jc w:val="center"/>
        <w:rPr>
          <w:rFonts w:asciiTheme="minorEastAsia" w:hAnsiTheme="minorEastAsia" w:eastAsiaTheme="minorEastAsia"/>
          <w:bCs/>
          <w:color w:val="000000" w:themeColor="text1"/>
          <w:sz w:val="24"/>
        </w:rPr>
      </w:pPr>
      <w:r>
        <w:rPr>
          <w:rFonts w:asciiTheme="minorEastAsia" w:hAnsiTheme="minorEastAsia" w:eastAsiaTheme="minorEastAsia"/>
          <w:bCs/>
          <w:color w:val="000000" w:themeColor="text1"/>
          <w:sz w:val="24"/>
        </w:rPr>
        <w:t>表</w:t>
      </w:r>
      <w:r>
        <w:rPr>
          <w:rFonts w:hint="eastAsia" w:asciiTheme="minorEastAsia" w:hAnsiTheme="minorEastAsia" w:eastAsiaTheme="minorEastAsia"/>
          <w:bCs/>
          <w:color w:val="000000" w:themeColor="text1"/>
          <w:sz w:val="24"/>
        </w:rPr>
        <w:t>5-11 消防及给排水安全检查表</w:t>
      </w:r>
    </w:p>
    <w:tbl>
      <w:tblPr>
        <w:tblStyle w:val="52"/>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3138"/>
        <w:gridCol w:w="2442"/>
        <w:gridCol w:w="2524"/>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523"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序号</w:t>
            </w:r>
          </w:p>
        </w:tc>
        <w:tc>
          <w:tcPr>
            <w:tcW w:w="3138" w:type="dxa"/>
            <w:tcBorders>
              <w:top w:val="single" w:color="auto" w:sz="4" w:space="0"/>
              <w:left w:val="single" w:color="auto" w:sz="4" w:space="0"/>
              <w:bottom w:val="single" w:color="auto" w:sz="4" w:space="0"/>
              <w:right w:val="single" w:color="auto" w:sz="4" w:space="0"/>
            </w:tcBorders>
            <w:vAlign w:val="center"/>
          </w:tcPr>
          <w:p>
            <w:pPr>
              <w:pStyle w:val="91"/>
              <w:tabs>
                <w:tab w:val="left" w:pos="420"/>
              </w:tabs>
              <w:jc w:val="center"/>
              <w:rPr>
                <w:b/>
                <w:bCs/>
                <w:color w:val="000000" w:themeColor="text1"/>
                <w:kern w:val="21"/>
                <w:szCs w:val="21"/>
              </w:rPr>
            </w:pPr>
            <w:r>
              <w:rPr>
                <w:b/>
                <w:bCs/>
                <w:color w:val="000000" w:themeColor="text1"/>
                <w:kern w:val="21"/>
                <w:szCs w:val="21"/>
              </w:rPr>
              <w:t>检查内容</w:t>
            </w:r>
          </w:p>
        </w:tc>
        <w:tc>
          <w:tcPr>
            <w:tcW w:w="2442"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检查依据</w:t>
            </w:r>
          </w:p>
        </w:tc>
        <w:tc>
          <w:tcPr>
            <w:tcW w:w="2524"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实际情况</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rPr>
            </w:pPr>
            <w:r>
              <w:rPr>
                <w:b/>
                <w:bCs/>
                <w:color w:val="000000" w:themeColor="text1"/>
                <w:szCs w:val="21"/>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gridSpan w:val="5"/>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rPr>
            </w:pPr>
            <w:r>
              <w:rPr>
                <w:b/>
                <w:color w:val="000000" w:themeColor="text1"/>
                <w:szCs w:val="21"/>
              </w:rPr>
              <w:t>消防设施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3" w:type="dxa"/>
            <w:tcBorders>
              <w:top w:val="single" w:color="auto" w:sz="4" w:space="0"/>
              <w:left w:val="single" w:color="auto" w:sz="4" w:space="0"/>
              <w:bottom w:val="single" w:color="auto" w:sz="4" w:space="0"/>
              <w:right w:val="single" w:color="auto" w:sz="4" w:space="0"/>
            </w:tcBorders>
            <w:vAlign w:val="center"/>
          </w:tcPr>
          <w:p>
            <w:pPr>
              <w:numPr>
                <w:ilvl w:val="0"/>
                <w:numId w:val="19"/>
              </w:numPr>
              <w:ind w:left="0" w:firstLine="0"/>
              <w:jc w:val="center"/>
              <w:rPr>
                <w:color w:val="000000" w:themeColor="text1"/>
                <w:szCs w:val="21"/>
              </w:rPr>
            </w:pPr>
          </w:p>
        </w:tc>
        <w:tc>
          <w:tcPr>
            <w:tcW w:w="3138"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pacing w:val="8"/>
                <w:szCs w:val="21"/>
              </w:rPr>
              <w:t>按规定应当进行消防验收检测的建筑工程，经技术检测后，向公安消防机构申报验收。未经验收或者验收不合格的，不得投入使用。</w:t>
            </w:r>
          </w:p>
        </w:tc>
        <w:tc>
          <w:tcPr>
            <w:tcW w:w="244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pacing w:val="8"/>
                <w:szCs w:val="21"/>
              </w:rPr>
            </w:pPr>
            <w:r>
              <w:rPr>
                <w:color w:val="000000" w:themeColor="text1"/>
                <w:spacing w:val="8"/>
                <w:szCs w:val="21"/>
              </w:rPr>
              <w:t>《云南省消防条例》（2001年3月29日省九届人大常委会第二十一次会议通过）</w:t>
            </w:r>
          </w:p>
          <w:p>
            <w:pPr>
              <w:jc w:val="center"/>
              <w:rPr>
                <w:color w:val="000000" w:themeColor="text1"/>
                <w:spacing w:val="8"/>
                <w:szCs w:val="21"/>
              </w:rPr>
            </w:pPr>
            <w:r>
              <w:rPr>
                <w:color w:val="000000" w:themeColor="text1"/>
                <w:spacing w:val="8"/>
                <w:szCs w:val="21"/>
              </w:rPr>
              <w:t>第十六条</w:t>
            </w:r>
          </w:p>
        </w:tc>
        <w:tc>
          <w:tcPr>
            <w:tcW w:w="2524" w:type="dxa"/>
            <w:tcBorders>
              <w:top w:val="single" w:color="auto" w:sz="4" w:space="0"/>
              <w:left w:val="single" w:color="auto" w:sz="4" w:space="0"/>
              <w:bottom w:val="single" w:color="auto" w:sz="4" w:space="0"/>
              <w:right w:val="single" w:color="auto" w:sz="4" w:space="0"/>
            </w:tcBorders>
            <w:vAlign w:val="center"/>
          </w:tcPr>
          <w:p>
            <w:pPr>
              <w:rPr>
                <w:color w:val="000000" w:themeColor="text1"/>
                <w:spacing w:val="8"/>
                <w:szCs w:val="21"/>
              </w:rPr>
            </w:pPr>
            <w:r>
              <w:rPr>
                <w:rFonts w:hint="eastAsia"/>
                <w:color w:val="000000" w:themeColor="text1"/>
                <w:spacing w:val="8"/>
                <w:szCs w:val="21"/>
              </w:rPr>
              <w:t>无消防验收资料</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不</w:t>
            </w: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3" w:type="dxa"/>
            <w:tcBorders>
              <w:top w:val="single" w:color="auto" w:sz="4" w:space="0"/>
              <w:left w:val="single" w:color="auto" w:sz="4" w:space="0"/>
              <w:bottom w:val="single" w:color="auto" w:sz="4" w:space="0"/>
              <w:right w:val="single" w:color="auto" w:sz="4" w:space="0"/>
            </w:tcBorders>
            <w:vAlign w:val="center"/>
          </w:tcPr>
          <w:p>
            <w:pPr>
              <w:numPr>
                <w:ilvl w:val="0"/>
                <w:numId w:val="19"/>
              </w:numPr>
              <w:ind w:left="0" w:firstLine="0"/>
              <w:jc w:val="center"/>
              <w:rPr>
                <w:color w:val="000000" w:themeColor="text1"/>
                <w:szCs w:val="21"/>
              </w:rPr>
            </w:pPr>
          </w:p>
        </w:tc>
        <w:tc>
          <w:tcPr>
            <w:tcW w:w="3138" w:type="dxa"/>
            <w:tcBorders>
              <w:top w:val="single" w:color="auto" w:sz="4" w:space="0"/>
              <w:left w:val="single" w:color="auto" w:sz="4" w:space="0"/>
              <w:bottom w:val="single" w:color="auto" w:sz="4" w:space="0"/>
              <w:right w:val="single" w:color="auto" w:sz="4" w:space="0"/>
            </w:tcBorders>
          </w:tcPr>
          <w:p>
            <w:pPr>
              <w:jc w:val="left"/>
              <w:rPr>
                <w:color w:val="000000" w:themeColor="text1"/>
                <w:spacing w:val="8"/>
                <w:szCs w:val="21"/>
              </w:rPr>
            </w:pPr>
            <w:r>
              <w:rPr>
                <w:color w:val="000000" w:themeColor="text1"/>
                <w:spacing w:val="8"/>
                <w:szCs w:val="21"/>
              </w:rPr>
              <w:t>加油加气加氢站工艺设备应配置灭火器材，并应符合下</w:t>
            </w:r>
            <w:r>
              <w:rPr>
                <w:color w:val="000000" w:themeColor="text1"/>
                <w:spacing w:val="8"/>
                <w:szCs w:val="21"/>
              </w:rPr>
              <w:br w:type="textWrapping"/>
            </w:r>
            <w:r>
              <w:rPr>
                <w:color w:val="000000" w:themeColor="text1"/>
                <w:spacing w:val="8"/>
                <w:szCs w:val="21"/>
              </w:rPr>
              <w:t>列规定:1.每2台加气(氢)机应配置不少于2具5Kg手提式干粉灭火器，加气(氢)机不足2台应按2台配置；2.每2台加油机应配置不少于2具5Kg手提式干粉灭火器，或1具5Kg 手提式干粉灭火器和1具6L 泡沫灭火器，加油机不足2台应按2台配置；3.地上LPG储罐、地上LNG储罐、地下和半地下LNG储罐、地上液氢储罐、CNG储气设施，应配置2台不小于35Kg推车式干粉灭火器，当两种介质储罐之间的距离超过15m时，应分别配置；4.地下储罐应配置1台不小于 35kg 推车式干粉灭火器，当</w:t>
            </w:r>
            <w:r>
              <w:rPr>
                <w:color w:val="000000" w:themeColor="text1"/>
                <w:spacing w:val="8"/>
                <w:szCs w:val="21"/>
              </w:rPr>
              <w:br w:type="textWrapping"/>
            </w:r>
            <w:r>
              <w:rPr>
                <w:color w:val="000000" w:themeColor="text1"/>
                <w:spacing w:val="8"/>
                <w:szCs w:val="21"/>
              </w:rPr>
              <w:t>两种介质储罐之间的距离超过15m时，应分别配置；5. LPG 泵、LNG泵、液氢增压泵、压缩机操作间(棚、箱)，应按建筑面积每50m，配置不少于2 具5Kg手提式干粉灭火器；6. 一、二级加油站应配置灭火毯 5块、沙子2m</w:t>
            </w:r>
            <w:r>
              <w:rPr>
                <w:color w:val="000000" w:themeColor="text1"/>
                <w:spacing w:val="8"/>
                <w:szCs w:val="21"/>
                <w:vertAlign w:val="superscript"/>
              </w:rPr>
              <w:t>3</w:t>
            </w:r>
            <w:r>
              <w:rPr>
                <w:color w:val="000000" w:themeColor="text1"/>
                <w:spacing w:val="8"/>
                <w:szCs w:val="21"/>
              </w:rPr>
              <w:t>，三级加油站</w:t>
            </w:r>
            <w:r>
              <w:rPr>
                <w:color w:val="000000" w:themeColor="text1"/>
                <w:spacing w:val="8"/>
                <w:szCs w:val="21"/>
              </w:rPr>
              <w:br w:type="textWrapping"/>
            </w:r>
            <w:r>
              <w:rPr>
                <w:color w:val="000000" w:themeColor="text1"/>
                <w:spacing w:val="8"/>
                <w:szCs w:val="21"/>
              </w:rPr>
              <w:t>应配置灭火毯不少于2块、沙子2m</w:t>
            </w:r>
            <w:r>
              <w:rPr>
                <w:color w:val="000000" w:themeColor="text1"/>
                <w:spacing w:val="8"/>
                <w:szCs w:val="21"/>
                <w:vertAlign w:val="superscript"/>
              </w:rPr>
              <w:t>3</w:t>
            </w:r>
            <w:r>
              <w:rPr>
                <w:color w:val="000000" w:themeColor="text1"/>
                <w:spacing w:val="8"/>
                <w:szCs w:val="21"/>
              </w:rPr>
              <w:t>。加油加气合建站应按同级别的加油站配置灭火毯和沙子。</w:t>
            </w:r>
            <w:r>
              <w:rPr>
                <w:color w:val="000000" w:themeColor="text1"/>
                <w:spacing w:val="8"/>
                <w:szCs w:val="21"/>
              </w:rPr>
              <w:br w:type="textWrapping"/>
            </w:r>
            <w:r>
              <w:rPr>
                <w:color w:val="000000" w:themeColor="text1"/>
                <w:spacing w:val="8"/>
                <w:szCs w:val="21"/>
              </w:rPr>
              <w:t xml:space="preserve">其余建筑的灭火器配置，应符合现行国家标准《建筑灭火器配置设计规范》GB50140的有关规定 。 </w:t>
            </w:r>
          </w:p>
        </w:tc>
        <w:tc>
          <w:tcPr>
            <w:tcW w:w="2442" w:type="dxa"/>
            <w:tcBorders>
              <w:top w:val="single" w:color="auto" w:sz="4" w:space="0"/>
              <w:left w:val="single" w:color="auto" w:sz="4" w:space="0"/>
              <w:bottom w:val="single" w:color="auto" w:sz="4" w:space="0"/>
              <w:right w:val="single" w:color="auto" w:sz="4" w:space="0"/>
            </w:tcBorders>
            <w:vAlign w:val="center"/>
          </w:tcPr>
          <w:p>
            <w:pPr>
              <w:jc w:val="left"/>
              <w:rPr>
                <w:color w:val="000000" w:themeColor="text1"/>
                <w:spacing w:val="8"/>
                <w:szCs w:val="21"/>
              </w:rPr>
            </w:pPr>
            <w:r>
              <w:rPr>
                <w:color w:val="000000" w:themeColor="text1"/>
                <w:spacing w:val="8"/>
                <w:szCs w:val="21"/>
              </w:rPr>
              <w:t>《汽车加油加气</w:t>
            </w:r>
            <w:r>
              <w:rPr>
                <w:rFonts w:hint="eastAsia"/>
                <w:color w:val="000000" w:themeColor="text1"/>
                <w:spacing w:val="8"/>
                <w:szCs w:val="21"/>
              </w:rPr>
              <w:t>加氢</w:t>
            </w:r>
            <w:r>
              <w:rPr>
                <w:color w:val="000000" w:themeColor="text1"/>
                <w:spacing w:val="8"/>
                <w:szCs w:val="21"/>
              </w:rPr>
              <w:t>站</w:t>
            </w:r>
            <w:r>
              <w:rPr>
                <w:rFonts w:hint="eastAsia"/>
                <w:color w:val="000000" w:themeColor="text1"/>
                <w:spacing w:val="8"/>
                <w:szCs w:val="21"/>
              </w:rPr>
              <w:t>技术标准</w:t>
            </w:r>
            <w:r>
              <w:rPr>
                <w:color w:val="000000" w:themeColor="text1"/>
                <w:spacing w:val="8"/>
                <w:szCs w:val="21"/>
              </w:rPr>
              <w:t>》（GB50156-2021）第12.1.1条、第12.1.2条</w:t>
            </w:r>
          </w:p>
        </w:tc>
        <w:tc>
          <w:tcPr>
            <w:tcW w:w="2524" w:type="dxa"/>
            <w:tcBorders>
              <w:top w:val="single" w:color="auto" w:sz="4" w:space="0"/>
              <w:left w:val="single" w:color="auto" w:sz="4" w:space="0"/>
              <w:bottom w:val="single" w:color="auto" w:sz="4" w:space="0"/>
              <w:right w:val="single" w:color="auto" w:sz="4" w:space="0"/>
            </w:tcBorders>
            <w:vAlign w:val="center"/>
          </w:tcPr>
          <w:p>
            <w:pPr>
              <w:jc w:val="left"/>
              <w:rPr>
                <w:color w:val="000000" w:themeColor="text1"/>
                <w:spacing w:val="8"/>
                <w:szCs w:val="21"/>
              </w:rPr>
            </w:pPr>
            <w:r>
              <w:rPr>
                <w:color w:val="000000" w:themeColor="text1"/>
                <w:spacing w:val="8"/>
                <w:szCs w:val="21"/>
              </w:rPr>
              <w:t>该项目的消防器材情况：储罐区配置了推车式干粉灭火器</w:t>
            </w:r>
            <w:r>
              <w:rPr>
                <w:rFonts w:hint="eastAsia"/>
                <w:color w:val="000000" w:themeColor="text1"/>
                <w:spacing w:val="8"/>
                <w:szCs w:val="21"/>
              </w:rPr>
              <w:t>及手提式干粉灭火器</w:t>
            </w:r>
            <w:r>
              <w:rPr>
                <w:color w:val="000000" w:themeColor="text1"/>
                <w:spacing w:val="8"/>
                <w:szCs w:val="21"/>
              </w:rPr>
              <w:t>。</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3" w:type="dxa"/>
            <w:tcBorders>
              <w:top w:val="single" w:color="auto" w:sz="4" w:space="0"/>
              <w:left w:val="single" w:color="auto" w:sz="4" w:space="0"/>
              <w:bottom w:val="single" w:color="auto" w:sz="4" w:space="0"/>
              <w:right w:val="single" w:color="auto" w:sz="4" w:space="0"/>
            </w:tcBorders>
            <w:vAlign w:val="center"/>
          </w:tcPr>
          <w:p>
            <w:pPr>
              <w:numPr>
                <w:ilvl w:val="0"/>
                <w:numId w:val="19"/>
              </w:numPr>
              <w:ind w:left="0" w:firstLine="0"/>
              <w:jc w:val="center"/>
              <w:rPr>
                <w:color w:val="000000" w:themeColor="text1"/>
                <w:szCs w:val="21"/>
              </w:rPr>
            </w:pPr>
          </w:p>
        </w:tc>
        <w:tc>
          <w:tcPr>
            <w:tcW w:w="3138"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一个计算单元内配置的灭火器数量不得少于2具。</w:t>
            </w:r>
          </w:p>
          <w:p>
            <w:pPr>
              <w:rPr>
                <w:color w:val="000000" w:themeColor="text1"/>
                <w:szCs w:val="21"/>
              </w:rPr>
            </w:pPr>
            <w:r>
              <w:rPr>
                <w:color w:val="000000" w:themeColor="text1"/>
                <w:szCs w:val="21"/>
              </w:rPr>
              <w:t>每个设置点的灭火器数量不宜多于5具。</w:t>
            </w:r>
          </w:p>
        </w:tc>
        <w:tc>
          <w:tcPr>
            <w:tcW w:w="244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《建筑灭火器配置设计规范》（GB50140-2005）</w:t>
            </w:r>
          </w:p>
          <w:p>
            <w:pPr>
              <w:jc w:val="center"/>
              <w:rPr>
                <w:color w:val="000000" w:themeColor="text1"/>
                <w:szCs w:val="21"/>
              </w:rPr>
            </w:pPr>
            <w:r>
              <w:rPr>
                <w:color w:val="000000" w:themeColor="text1"/>
                <w:szCs w:val="21"/>
              </w:rPr>
              <w:t>第</w:t>
            </w:r>
            <w:r>
              <w:rPr>
                <w:bCs/>
                <w:color w:val="000000" w:themeColor="text1"/>
                <w:kern w:val="0"/>
                <w:szCs w:val="21"/>
              </w:rPr>
              <w:t>10.1.2条</w:t>
            </w:r>
          </w:p>
        </w:tc>
        <w:tc>
          <w:tcPr>
            <w:tcW w:w="2524" w:type="dxa"/>
            <w:tcBorders>
              <w:top w:val="single" w:color="auto" w:sz="4" w:space="0"/>
              <w:left w:val="single" w:color="auto" w:sz="4" w:space="0"/>
              <w:bottom w:val="single" w:color="auto" w:sz="4" w:space="0"/>
              <w:right w:val="single" w:color="auto" w:sz="4" w:space="0"/>
            </w:tcBorders>
            <w:vAlign w:val="center"/>
          </w:tcPr>
          <w:p>
            <w:pPr>
              <w:rPr>
                <w:rStyle w:val="73"/>
                <w:bCs/>
                <w:color w:val="000000" w:themeColor="text1"/>
              </w:rPr>
            </w:pPr>
            <w:r>
              <w:rPr>
                <w:color w:val="000000" w:themeColor="text1"/>
                <w:szCs w:val="21"/>
              </w:rPr>
              <w:t>该项目办公区未设置手提式灭火器。</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gridSpan w:val="5"/>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rPr>
            </w:pPr>
            <w:r>
              <w:rPr>
                <w:b/>
                <w:color w:val="000000" w:themeColor="text1"/>
                <w:szCs w:val="21"/>
              </w:rPr>
              <w:t>给排水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3" w:type="dxa"/>
            <w:tcBorders>
              <w:top w:val="single" w:color="auto" w:sz="4" w:space="0"/>
              <w:left w:val="single" w:color="auto" w:sz="4" w:space="0"/>
              <w:bottom w:val="single" w:color="auto" w:sz="4" w:space="0"/>
              <w:right w:val="single" w:color="auto" w:sz="4" w:space="0"/>
            </w:tcBorders>
            <w:vAlign w:val="center"/>
          </w:tcPr>
          <w:p>
            <w:pPr>
              <w:numPr>
                <w:ilvl w:val="0"/>
                <w:numId w:val="20"/>
              </w:numPr>
              <w:ind w:left="0" w:firstLine="0"/>
              <w:jc w:val="center"/>
              <w:rPr>
                <w:color w:val="000000" w:themeColor="text1"/>
                <w:szCs w:val="21"/>
              </w:rPr>
            </w:pPr>
          </w:p>
        </w:tc>
        <w:tc>
          <w:tcPr>
            <w:tcW w:w="3138"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加油加气站的给排水应符合下列规定：</w:t>
            </w:r>
          </w:p>
          <w:p>
            <w:pPr>
              <w:rPr>
                <w:color w:val="000000" w:themeColor="text1"/>
                <w:szCs w:val="21"/>
              </w:rPr>
            </w:pPr>
            <w:r>
              <w:rPr>
                <w:color w:val="000000" w:themeColor="text1"/>
                <w:szCs w:val="21"/>
              </w:rPr>
              <w:t>（1）站内地面雨水可散流排出站外。当雨水有明沟排到站外时，在排出围墙之前，应在围墙内设置水封装置。</w:t>
            </w:r>
          </w:p>
          <w:p>
            <w:pPr>
              <w:rPr>
                <w:color w:val="000000" w:themeColor="text1"/>
                <w:szCs w:val="21"/>
              </w:rPr>
            </w:pPr>
            <w:r>
              <w:rPr>
                <w:color w:val="000000" w:themeColor="text1"/>
                <w:szCs w:val="21"/>
              </w:rPr>
              <w:t>（2）加油站、液化石油气加气站或加油和液化石油气加气合建站的排出建筑物或围墙的污水，在建筑物墙外或围墙内应分别设水封井。水封井的水封高度不应小于0.25m；水封井应设沉泥段，沉泥段高度不应小于0.25m。</w:t>
            </w:r>
          </w:p>
          <w:p>
            <w:pPr>
              <w:rPr>
                <w:color w:val="000000" w:themeColor="text1"/>
                <w:szCs w:val="21"/>
              </w:rPr>
            </w:pPr>
            <w:r>
              <w:rPr>
                <w:color w:val="000000" w:themeColor="text1"/>
                <w:szCs w:val="21"/>
              </w:rPr>
              <w:t>（3）清洗油罐的污水应集中收集处理，不应直接进入排水管道。液化石油气罐的排污（排水）应采用活动式回收桶集中收集处理，严禁自接接入排水管道。</w:t>
            </w:r>
          </w:p>
          <w:p>
            <w:pPr>
              <w:rPr>
                <w:color w:val="000000" w:themeColor="text1"/>
                <w:szCs w:val="21"/>
              </w:rPr>
            </w:pPr>
            <w:r>
              <w:rPr>
                <w:color w:val="000000" w:themeColor="text1"/>
                <w:szCs w:val="21"/>
              </w:rPr>
              <w:t>（4）排出站外的污水应符合国家有关的污水排放标准。</w:t>
            </w:r>
          </w:p>
          <w:p>
            <w:pPr>
              <w:rPr>
                <w:color w:val="000000" w:themeColor="text1"/>
                <w:szCs w:val="21"/>
              </w:rPr>
            </w:pPr>
            <w:r>
              <w:rPr>
                <w:color w:val="000000" w:themeColor="text1"/>
                <w:szCs w:val="21"/>
              </w:rPr>
              <w:t>（5）加油站、液化石油气加气站、不应采用暗沟排水。</w:t>
            </w:r>
          </w:p>
        </w:tc>
        <w:tc>
          <w:tcPr>
            <w:tcW w:w="244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《汽车加油加气</w:t>
            </w:r>
            <w:r>
              <w:rPr>
                <w:rFonts w:hint="eastAsia"/>
                <w:color w:val="000000" w:themeColor="text1"/>
                <w:szCs w:val="21"/>
              </w:rPr>
              <w:t>加氢</w:t>
            </w:r>
            <w:r>
              <w:rPr>
                <w:color w:val="000000" w:themeColor="text1"/>
                <w:szCs w:val="21"/>
              </w:rPr>
              <w:t>站</w:t>
            </w:r>
            <w:r>
              <w:rPr>
                <w:rFonts w:hint="eastAsia"/>
                <w:color w:val="000000" w:themeColor="text1"/>
                <w:szCs w:val="21"/>
              </w:rPr>
              <w:t>技术标准</w:t>
            </w:r>
            <w:r>
              <w:rPr>
                <w:color w:val="000000" w:themeColor="text1"/>
                <w:szCs w:val="21"/>
              </w:rPr>
              <w:t>》（GB50156-2021）第12.3.2条</w:t>
            </w:r>
          </w:p>
        </w:tc>
        <w:tc>
          <w:tcPr>
            <w:tcW w:w="2524" w:type="dxa"/>
            <w:tcBorders>
              <w:top w:val="single" w:color="auto" w:sz="4" w:space="0"/>
              <w:left w:val="single" w:color="auto" w:sz="4" w:space="0"/>
              <w:right w:val="single" w:color="auto" w:sz="4" w:space="0"/>
            </w:tcBorders>
            <w:vAlign w:val="center"/>
          </w:tcPr>
          <w:p>
            <w:pPr>
              <w:rPr>
                <w:color w:val="000000" w:themeColor="text1"/>
                <w:szCs w:val="21"/>
              </w:rPr>
            </w:pPr>
            <w:r>
              <w:rPr>
                <w:color w:val="000000" w:themeColor="text1"/>
                <w:szCs w:val="21"/>
              </w:rPr>
              <w:t>该项目雨水、生活污水和地面冲洗水，采用雨污分流方式排放，建筑屋面雨水通过排水沟，经排水沟收集后排出厂外。</w:t>
            </w:r>
          </w:p>
        </w:tc>
        <w:tc>
          <w:tcPr>
            <w:tcW w:w="774" w:type="dxa"/>
            <w:tcBorders>
              <w:top w:val="single" w:color="auto" w:sz="4" w:space="0"/>
              <w:left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bl>
    <w:p>
      <w:pPr>
        <w:spacing w:line="500" w:lineRule="exact"/>
        <w:ind w:firstLine="560" w:firstLineChars="200"/>
        <w:rPr>
          <w:rFonts w:eastAsiaTheme="minorEastAsia"/>
          <w:snapToGrid w:val="0"/>
          <w:color w:val="000000" w:themeColor="text1"/>
          <w:kern w:val="0"/>
          <w:sz w:val="28"/>
          <w:szCs w:val="28"/>
        </w:rPr>
      </w:pPr>
      <w:bookmarkStart w:id="1828" w:name="_Toc10980"/>
      <w:bookmarkStart w:id="1829" w:name="_Toc22643"/>
      <w:bookmarkStart w:id="1830" w:name="_Toc24238"/>
      <w:bookmarkStart w:id="1831" w:name="_Toc29369"/>
      <w:bookmarkStart w:id="1832" w:name="_Toc9346"/>
      <w:bookmarkStart w:id="1833" w:name="_Toc18394"/>
      <w:bookmarkStart w:id="1834" w:name="_Toc16889"/>
      <w:bookmarkStart w:id="1835" w:name="_Toc14961"/>
      <w:bookmarkStart w:id="1836" w:name="_Toc13968"/>
      <w:bookmarkStart w:id="1837" w:name="_Toc6231"/>
      <w:r>
        <w:rPr>
          <w:rFonts w:eastAsiaTheme="minorEastAsia"/>
          <w:snapToGrid w:val="0"/>
          <w:color w:val="000000" w:themeColor="text1"/>
          <w:kern w:val="0"/>
          <w:sz w:val="28"/>
          <w:szCs w:val="28"/>
        </w:rPr>
        <w:t>由上表检查结果可知，该项目</w:t>
      </w:r>
      <w:r>
        <w:rPr>
          <w:rFonts w:hint="eastAsia" w:eastAsiaTheme="minorEastAsia"/>
          <w:snapToGrid w:val="0"/>
          <w:color w:val="000000" w:themeColor="text1"/>
          <w:kern w:val="0"/>
          <w:sz w:val="28"/>
          <w:szCs w:val="28"/>
        </w:rPr>
        <w:t>未提供消防验收资料、</w:t>
      </w:r>
      <w:r>
        <w:rPr>
          <w:rFonts w:eastAsiaTheme="minorEastAsia"/>
          <w:snapToGrid w:val="0"/>
          <w:color w:val="000000" w:themeColor="text1"/>
          <w:kern w:val="0"/>
          <w:sz w:val="28"/>
          <w:szCs w:val="28"/>
        </w:rPr>
        <w:t>消防及给排水系统除办公区未设置手提式灭火器外，其余均符合《建筑灭火器配置设计规范》（GB50140-2005）、《汽车加油加气加氢站技术标准》（GB50156-2021）、《云南省消防条例》（2001年3月29日省九届人大常委会第二十一次会议通过）等</w:t>
      </w:r>
      <w:r>
        <w:rPr>
          <w:rFonts w:hint="eastAsia" w:eastAsiaTheme="minorEastAsia"/>
          <w:snapToGrid w:val="0"/>
          <w:color w:val="000000" w:themeColor="text1"/>
          <w:kern w:val="0"/>
          <w:sz w:val="28"/>
          <w:szCs w:val="28"/>
        </w:rPr>
        <w:t>法规、</w:t>
      </w:r>
      <w:r>
        <w:rPr>
          <w:rFonts w:eastAsiaTheme="minorEastAsia"/>
          <w:snapToGrid w:val="0"/>
          <w:color w:val="000000" w:themeColor="text1"/>
          <w:kern w:val="0"/>
          <w:sz w:val="28"/>
          <w:szCs w:val="28"/>
        </w:rPr>
        <w:t>标准规范的要求。</w:t>
      </w: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5.5.3 防雷、防静电</w:t>
      </w:r>
      <w:r>
        <w:rPr>
          <w:rFonts w:hint="eastAsia" w:ascii="黑体" w:hAnsi="宋体" w:eastAsia="黑体"/>
          <w:color w:val="000000" w:themeColor="text1"/>
          <w:kern w:val="3"/>
          <w:sz w:val="28"/>
          <w:szCs w:val="28"/>
          <w:lang w:val="en-US" w:eastAsia="zh-CN"/>
        </w:rPr>
        <w:t>装置</w:t>
      </w:r>
      <w:r>
        <w:rPr>
          <w:rFonts w:hint="eastAsia" w:ascii="黑体" w:hAnsi="宋体" w:eastAsia="黑体"/>
          <w:color w:val="000000" w:themeColor="text1"/>
          <w:kern w:val="3"/>
          <w:sz w:val="28"/>
          <w:szCs w:val="28"/>
        </w:rPr>
        <w:t>评价子单元安全检查表</w:t>
      </w:r>
      <w:bookmarkEnd w:id="1828"/>
      <w:bookmarkEnd w:id="1829"/>
      <w:bookmarkEnd w:id="1830"/>
      <w:bookmarkEnd w:id="1831"/>
      <w:bookmarkEnd w:id="1832"/>
      <w:bookmarkEnd w:id="1833"/>
      <w:bookmarkEnd w:id="1834"/>
      <w:bookmarkEnd w:id="1835"/>
      <w:bookmarkEnd w:id="1836"/>
      <w:bookmarkEnd w:id="1837"/>
    </w:p>
    <w:p>
      <w:pPr>
        <w:adjustRightInd w:val="0"/>
        <w:snapToGrid w:val="0"/>
        <w:spacing w:line="500" w:lineRule="exact"/>
        <w:ind w:firstLine="560" w:firstLineChars="200"/>
        <w:rPr>
          <w:rFonts w:eastAsiaTheme="minorEastAsia"/>
          <w:bCs/>
          <w:color w:val="000000" w:themeColor="text1"/>
          <w:sz w:val="24"/>
        </w:rPr>
      </w:pPr>
      <w:r>
        <w:rPr>
          <w:rFonts w:eastAsiaTheme="minorEastAsia"/>
          <w:color w:val="000000" w:themeColor="text1"/>
          <w:sz w:val="28"/>
        </w:rPr>
        <w:t>根据</w:t>
      </w:r>
      <w:r>
        <w:rPr>
          <w:rFonts w:eastAsiaTheme="minorEastAsia"/>
          <w:snapToGrid w:val="0"/>
          <w:color w:val="000000" w:themeColor="text1"/>
          <w:kern w:val="0"/>
          <w:sz w:val="28"/>
          <w:szCs w:val="28"/>
        </w:rPr>
        <w:t>《汽车加油加气加氢站技术标准》（GB50156-2021）等标准、规范的要求，对该项目防雷、防静电进行安全分析评价，具体情况如下表所示</w:t>
      </w:r>
      <w:r>
        <w:rPr>
          <w:rFonts w:eastAsiaTheme="minorEastAsia"/>
          <w:color w:val="000000" w:themeColor="text1"/>
          <w:sz w:val="28"/>
          <w:szCs w:val="28"/>
        </w:rPr>
        <w:t>：</w:t>
      </w:r>
    </w:p>
    <w:p>
      <w:pPr>
        <w:rPr>
          <w:rFonts w:eastAsiaTheme="minorEastAsia"/>
          <w:bCs/>
          <w:color w:val="000000" w:themeColor="text1"/>
          <w:sz w:val="24"/>
        </w:rPr>
      </w:pPr>
      <w:r>
        <w:rPr>
          <w:rFonts w:eastAsiaTheme="minorEastAsia"/>
          <w:bCs/>
          <w:color w:val="000000" w:themeColor="text1"/>
          <w:sz w:val="24"/>
        </w:rPr>
        <w:br w:type="page"/>
      </w:r>
    </w:p>
    <w:p>
      <w:pPr>
        <w:adjustRightInd w:val="0"/>
        <w:snapToGrid w:val="0"/>
        <w:spacing w:line="500" w:lineRule="exact"/>
        <w:ind w:firstLine="480" w:firstLineChars="200"/>
        <w:jc w:val="center"/>
        <w:rPr>
          <w:rFonts w:eastAsiaTheme="minorEastAsia"/>
          <w:bCs/>
          <w:color w:val="000000" w:themeColor="text1"/>
          <w:sz w:val="24"/>
        </w:rPr>
      </w:pPr>
      <w:r>
        <w:rPr>
          <w:rFonts w:eastAsiaTheme="minorEastAsia"/>
          <w:bCs/>
          <w:color w:val="000000" w:themeColor="text1"/>
          <w:sz w:val="24"/>
        </w:rPr>
        <w:t>表5-1</w:t>
      </w:r>
      <w:r>
        <w:rPr>
          <w:rFonts w:hint="eastAsia" w:eastAsiaTheme="minorEastAsia"/>
          <w:bCs/>
          <w:color w:val="000000" w:themeColor="text1"/>
          <w:sz w:val="24"/>
        </w:rPr>
        <w:t>2</w:t>
      </w:r>
      <w:r>
        <w:rPr>
          <w:rFonts w:eastAsiaTheme="minorEastAsia"/>
          <w:bCs/>
          <w:color w:val="000000" w:themeColor="text1"/>
          <w:sz w:val="24"/>
        </w:rPr>
        <w:t xml:space="preserve"> 防雷、防静电安全检查表</w:t>
      </w:r>
    </w:p>
    <w:tbl>
      <w:tblPr>
        <w:tblStyle w:val="52"/>
        <w:tblW w:w="94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4"/>
        <w:gridCol w:w="3210"/>
        <w:gridCol w:w="2316"/>
        <w:gridCol w:w="2639"/>
        <w:gridCol w:w="7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401" w:type="dxa"/>
            <w:gridSpan w:val="5"/>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b/>
                <w:color w:val="000000" w:themeColor="text1"/>
                <w:szCs w:val="21"/>
              </w:rPr>
              <w:t>防雷、防静电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21"/>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钢制油罐、LPG储罐、LNG储罐、CNG储气瓶(组)、储氢容器和液氢储罐必须进行 防雷接地，接地点不应少于两处。CNG和氢气的长管拖车或管束式集装箱停放场地、卸车点车辆停放场地应设两处临时用固定防雷接地装置。</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eastAsiaTheme="minorEastAsia"/>
                <w:snapToGrid w:val="0"/>
                <w:color w:val="000000" w:themeColor="text1"/>
                <w:kern w:val="0"/>
                <w:szCs w:val="21"/>
              </w:rPr>
              <w:t>《汽车加油加气加氢站技术标准》</w:t>
            </w:r>
            <w:r>
              <w:rPr>
                <w:color w:val="000000" w:themeColor="text1"/>
                <w:szCs w:val="21"/>
              </w:rPr>
              <w:t>（GB50156-2021）第13.2.1条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该项目储罐已进行防雷接地。</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21"/>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汽车加油加气加氢站的防雷接地、防静电接地、电气设备的工作接地、保护接地及信息系统的接地等宜共用接地装置，接地电阻不应大于4Ω 。</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eastAsiaTheme="minorEastAsia"/>
                <w:snapToGrid w:val="0"/>
                <w:color w:val="000000" w:themeColor="text1"/>
                <w:kern w:val="0"/>
                <w:szCs w:val="21"/>
              </w:rPr>
              <w:t>《汽车加油加气加氢站技术标准》</w:t>
            </w:r>
            <w:r>
              <w:rPr>
                <w:color w:val="000000" w:themeColor="text1"/>
                <w:szCs w:val="21"/>
              </w:rPr>
              <w:t>（GB50156-2021）第13.2.2条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该项目的防雷装置于</w:t>
            </w:r>
            <w:r>
              <w:rPr>
                <w:rFonts w:hint="eastAsia"/>
                <w:color w:val="000000" w:themeColor="text1"/>
                <w:szCs w:val="21"/>
                <w:lang w:val="en-US" w:eastAsia="zh-CN"/>
              </w:rPr>
              <w:t>2025</w:t>
            </w:r>
            <w:r>
              <w:rPr>
                <w:rFonts w:hint="eastAsia"/>
                <w:color w:val="000000" w:themeColor="text1"/>
                <w:szCs w:val="21"/>
              </w:rPr>
              <w:t>年</w:t>
            </w:r>
            <w:r>
              <w:rPr>
                <w:rFonts w:hint="eastAsia"/>
                <w:color w:val="000000" w:themeColor="text1"/>
                <w:szCs w:val="21"/>
                <w:lang w:val="en-US" w:eastAsia="zh-CN"/>
              </w:rPr>
              <w:t>3</w:t>
            </w:r>
            <w:r>
              <w:rPr>
                <w:rFonts w:hint="eastAsia"/>
                <w:color w:val="000000" w:themeColor="text1"/>
                <w:szCs w:val="21"/>
              </w:rPr>
              <w:t>月</w:t>
            </w:r>
            <w:r>
              <w:rPr>
                <w:rFonts w:hint="eastAsia"/>
                <w:color w:val="000000" w:themeColor="text1"/>
                <w:szCs w:val="21"/>
                <w:lang w:val="en-US" w:eastAsia="zh-CN"/>
              </w:rPr>
              <w:t>1</w:t>
            </w:r>
            <w:r>
              <w:rPr>
                <w:rFonts w:hint="eastAsia"/>
                <w:color w:val="000000" w:themeColor="text1"/>
                <w:szCs w:val="21"/>
              </w:rPr>
              <w:t>日经云南省气象灾害防御技术中心检测</w:t>
            </w:r>
            <w:r>
              <w:rPr>
                <w:color w:val="000000" w:themeColor="text1"/>
                <w:szCs w:val="21"/>
              </w:rPr>
              <w:t>合格。</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21"/>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埋地钢制油罐、埋地LPG储罐以及非金属油罐顶部的金属部件和罐内的各金属部件，必须与非埋地部分的工艺金属管道相互做电气连接并接地。</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eastAsiaTheme="minorEastAsia"/>
                <w:snapToGrid w:val="0"/>
                <w:color w:val="000000" w:themeColor="text1"/>
                <w:kern w:val="0"/>
                <w:szCs w:val="21"/>
              </w:rPr>
              <w:t>《汽车加油加气加氢站技术标准》</w:t>
            </w:r>
            <w:r>
              <w:rPr>
                <w:color w:val="000000" w:themeColor="text1"/>
                <w:szCs w:val="21"/>
              </w:rPr>
              <w:t>（GB50156-2021）第13.2.5条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该项目储罐与非埋地部分的工艺金属管道相互做电气连接并接地。</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21"/>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 xml:space="preserve">加油加气加氢站的油罐车、LPG 罐车、LNG罐车和液氢罐车卸车场地应设卸车或卸气临时用的防静电接地装置，并应设置能检测跨接线及监视接地装置状态的静电接地仪。 </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eastAsiaTheme="minorEastAsia"/>
                <w:snapToGrid w:val="0"/>
                <w:color w:val="000000" w:themeColor="text1"/>
                <w:kern w:val="0"/>
                <w:szCs w:val="21"/>
              </w:rPr>
              <w:t>《汽车加油加气加氢站技术标准》</w:t>
            </w:r>
            <w:r>
              <w:rPr>
                <w:color w:val="000000" w:themeColor="text1"/>
                <w:szCs w:val="21"/>
              </w:rPr>
              <w:t>（GB50156-2021）第13.2.11条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rFonts w:hint="eastAsia"/>
                <w:color w:val="000000" w:themeColor="text1"/>
                <w:szCs w:val="21"/>
              </w:rPr>
              <w:t>现场未见静电接地装置</w:t>
            </w:r>
            <w:r>
              <w:rPr>
                <w:color w:val="000000" w:themeColor="text1"/>
                <w:szCs w:val="21"/>
              </w:rPr>
              <w:t>。</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不</w:t>
            </w:r>
            <w:r>
              <w:rPr>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64" w:type="dxa"/>
            <w:tcBorders>
              <w:top w:val="single" w:color="auto" w:sz="4" w:space="0"/>
              <w:left w:val="single" w:color="auto" w:sz="4" w:space="0"/>
              <w:bottom w:val="single" w:color="auto" w:sz="4" w:space="0"/>
              <w:right w:val="single" w:color="auto" w:sz="4" w:space="0"/>
            </w:tcBorders>
            <w:vAlign w:val="center"/>
          </w:tcPr>
          <w:p>
            <w:pPr>
              <w:numPr>
                <w:ilvl w:val="0"/>
                <w:numId w:val="21"/>
              </w:numPr>
              <w:tabs>
                <w:tab w:val="left" w:pos="352"/>
                <w:tab w:val="left" w:pos="759"/>
                <w:tab w:val="left" w:pos="825"/>
              </w:tabs>
              <w:adjustRightInd w:val="0"/>
              <w:ind w:left="0" w:firstLine="0"/>
              <w:jc w:val="center"/>
              <w:rPr>
                <w:color w:val="000000" w:themeColor="text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在爆炸危险区域内的油品管道上的法兰、胶管两端等连接处应用金属线跨接。当法兰的连接螺栓不少于5根时，在非腐蚀环境下，可不跨接。</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eastAsiaTheme="minorEastAsia"/>
                <w:snapToGrid w:val="0"/>
                <w:color w:val="000000" w:themeColor="text1"/>
                <w:kern w:val="0"/>
                <w:szCs w:val="21"/>
              </w:rPr>
              <w:t>《汽车加油加气加氢站技术标准》</w:t>
            </w:r>
            <w:r>
              <w:rPr>
                <w:color w:val="000000" w:themeColor="text1"/>
                <w:szCs w:val="21"/>
              </w:rPr>
              <w:t>（GB50156-2021）第13.2.12条</w:t>
            </w:r>
          </w:p>
        </w:tc>
        <w:tc>
          <w:tcPr>
            <w:tcW w:w="2639" w:type="dxa"/>
            <w:tcBorders>
              <w:top w:val="single" w:color="auto" w:sz="4" w:space="0"/>
              <w:left w:val="single" w:color="auto" w:sz="4" w:space="0"/>
              <w:bottom w:val="single" w:color="auto" w:sz="4" w:space="0"/>
              <w:right w:val="single" w:color="auto" w:sz="4" w:space="0"/>
            </w:tcBorders>
            <w:vAlign w:val="center"/>
          </w:tcPr>
          <w:p>
            <w:pPr>
              <w:rPr>
                <w:color w:val="000000" w:themeColor="text1"/>
                <w:szCs w:val="21"/>
              </w:rPr>
            </w:pPr>
            <w:r>
              <w:rPr>
                <w:color w:val="000000" w:themeColor="text1"/>
                <w:szCs w:val="21"/>
              </w:rPr>
              <w:t>现场检查，四孔及以下螺栓法兰均进行了防静电跨接。</w:t>
            </w:r>
          </w:p>
        </w:tc>
        <w:tc>
          <w:tcPr>
            <w:tcW w:w="77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符合</w:t>
            </w:r>
          </w:p>
        </w:tc>
      </w:tr>
    </w:tbl>
    <w:p>
      <w:pPr>
        <w:spacing w:line="500" w:lineRule="exact"/>
        <w:ind w:firstLine="560" w:firstLineChars="200"/>
        <w:rPr>
          <w:rFonts w:asciiTheme="minorEastAsia" w:hAnsiTheme="minorEastAsia" w:eastAsiaTheme="minorEastAsia"/>
          <w:snapToGrid w:val="0"/>
          <w:color w:val="000000" w:themeColor="text1"/>
          <w:kern w:val="0"/>
          <w:sz w:val="28"/>
          <w:szCs w:val="28"/>
        </w:rPr>
      </w:pPr>
      <w:r>
        <w:rPr>
          <w:rFonts w:asciiTheme="minorEastAsia" w:hAnsiTheme="minorEastAsia" w:eastAsiaTheme="minorEastAsia"/>
          <w:snapToGrid w:val="0"/>
          <w:color w:val="000000" w:themeColor="text1"/>
          <w:kern w:val="0"/>
          <w:sz w:val="28"/>
          <w:szCs w:val="28"/>
        </w:rPr>
        <w:t>由上述安全检查表的结果可知：该项目防雷、防静电装置</w:t>
      </w:r>
      <w:r>
        <w:rPr>
          <w:rFonts w:hint="eastAsia" w:asciiTheme="minorEastAsia" w:hAnsiTheme="minorEastAsia" w:eastAsiaTheme="minorEastAsia"/>
          <w:snapToGrid w:val="0"/>
          <w:color w:val="000000" w:themeColor="text1"/>
          <w:kern w:val="0"/>
          <w:sz w:val="28"/>
          <w:szCs w:val="28"/>
        </w:rPr>
        <w:t>除现场未设置静电接地装置，未设置人体静电释放装置外，其他符合</w:t>
      </w:r>
      <w:r>
        <w:rPr>
          <w:rFonts w:eastAsiaTheme="minorEastAsia"/>
          <w:snapToGrid w:val="0"/>
          <w:color w:val="000000" w:themeColor="text1"/>
          <w:kern w:val="0"/>
          <w:sz w:val="28"/>
          <w:szCs w:val="28"/>
        </w:rPr>
        <w:t>《汽车加油加气</w:t>
      </w:r>
      <w:r>
        <w:rPr>
          <w:rFonts w:hint="eastAsia" w:eastAsiaTheme="minorEastAsia"/>
          <w:snapToGrid w:val="0"/>
          <w:color w:val="000000" w:themeColor="text1"/>
          <w:kern w:val="0"/>
          <w:sz w:val="28"/>
          <w:szCs w:val="28"/>
        </w:rPr>
        <w:t>加氢技术标准</w:t>
      </w:r>
      <w:r>
        <w:rPr>
          <w:rFonts w:eastAsiaTheme="minorEastAsia"/>
          <w:snapToGrid w:val="0"/>
          <w:color w:val="000000" w:themeColor="text1"/>
          <w:kern w:val="0"/>
          <w:sz w:val="28"/>
          <w:szCs w:val="28"/>
        </w:rPr>
        <w:t>》（GB50156-2021）的要求。</w:t>
      </w:r>
    </w:p>
    <w:p>
      <w:pPr>
        <w:pStyle w:val="19"/>
        <w:spacing w:afterLines="100" w:line="500" w:lineRule="exact"/>
        <w:rPr>
          <w:rFonts w:ascii="黑体" w:hAnsi="宋体" w:eastAsia="黑体"/>
          <w:color w:val="000000" w:themeColor="text1"/>
          <w:kern w:val="3"/>
          <w:sz w:val="28"/>
          <w:szCs w:val="28"/>
        </w:rPr>
      </w:pPr>
      <w:bookmarkStart w:id="1838" w:name="_Toc6259"/>
      <w:bookmarkStart w:id="1839" w:name="_Toc32060"/>
      <w:bookmarkStart w:id="1840" w:name="_Toc27088"/>
      <w:bookmarkStart w:id="1841" w:name="_Toc23283"/>
      <w:bookmarkStart w:id="1842" w:name="_Toc1492"/>
      <w:bookmarkStart w:id="1843" w:name="_Toc23828"/>
      <w:bookmarkStart w:id="1844" w:name="_Toc23836"/>
      <w:bookmarkStart w:id="1845" w:name="_Toc5294"/>
      <w:bookmarkStart w:id="1846" w:name="_Toc4542"/>
      <w:bookmarkStart w:id="1847" w:name="_Toc9721"/>
      <w:r>
        <w:rPr>
          <w:rFonts w:hint="eastAsia" w:ascii="黑体" w:hAnsi="宋体" w:eastAsia="黑体"/>
          <w:color w:val="000000" w:themeColor="text1"/>
          <w:kern w:val="3"/>
          <w:sz w:val="28"/>
          <w:szCs w:val="28"/>
        </w:rPr>
        <w:t>5.5.4 评价单元小结</w:t>
      </w:r>
      <w:bookmarkEnd w:id="1838"/>
      <w:bookmarkEnd w:id="1839"/>
      <w:bookmarkEnd w:id="1840"/>
      <w:bookmarkEnd w:id="1841"/>
      <w:bookmarkEnd w:id="1842"/>
      <w:bookmarkEnd w:id="1843"/>
      <w:bookmarkEnd w:id="1844"/>
      <w:bookmarkEnd w:id="1845"/>
      <w:bookmarkEnd w:id="1846"/>
      <w:bookmarkEnd w:id="1847"/>
    </w:p>
    <w:p>
      <w:pPr>
        <w:spacing w:line="500" w:lineRule="exact"/>
        <w:ind w:firstLine="560" w:firstLineChars="200"/>
        <w:rPr>
          <w:rFonts w:eastAsiaTheme="minorEastAsia"/>
          <w:color w:val="000000" w:themeColor="text1"/>
          <w:sz w:val="28"/>
          <w:szCs w:val="28"/>
        </w:rPr>
      </w:pPr>
      <w:r>
        <w:rPr>
          <w:rFonts w:eastAsiaTheme="minorEastAsia"/>
          <w:snapToGrid w:val="0"/>
          <w:color w:val="000000" w:themeColor="text1"/>
          <w:kern w:val="0"/>
          <w:sz w:val="28"/>
          <w:szCs w:val="28"/>
        </w:rPr>
        <w:t>由上述分析评价结果可知：</w:t>
      </w:r>
    </w:p>
    <w:p>
      <w:pPr>
        <w:spacing w:line="500" w:lineRule="exact"/>
        <w:ind w:firstLine="560" w:firstLineChars="200"/>
        <w:rPr>
          <w:rFonts w:asciiTheme="minorEastAsia" w:hAnsiTheme="minorEastAsia" w:eastAsiaTheme="minorEastAsia"/>
          <w:snapToGrid w:val="0"/>
          <w:color w:val="000000" w:themeColor="text1"/>
          <w:kern w:val="0"/>
          <w:sz w:val="28"/>
          <w:szCs w:val="28"/>
        </w:rPr>
      </w:pPr>
      <w:r>
        <w:rPr>
          <w:rFonts w:hint="eastAsia" w:asciiTheme="minorEastAsia" w:hAnsiTheme="minorEastAsia" w:eastAsiaTheme="minorEastAsia"/>
          <w:snapToGrid w:val="0"/>
          <w:color w:val="000000" w:themeColor="text1"/>
          <w:kern w:val="0"/>
          <w:sz w:val="28"/>
          <w:szCs w:val="28"/>
        </w:rPr>
        <w:t>1.</w:t>
      </w:r>
      <w:r>
        <w:rPr>
          <w:rFonts w:asciiTheme="minorEastAsia" w:hAnsiTheme="minorEastAsia" w:eastAsiaTheme="minorEastAsia"/>
          <w:snapToGrid w:val="0"/>
          <w:color w:val="000000" w:themeColor="text1"/>
          <w:kern w:val="0"/>
          <w:sz w:val="28"/>
          <w:szCs w:val="28"/>
        </w:rPr>
        <w:t>该项目供配电系统除视频监控系统无UPS电源外，</w:t>
      </w:r>
      <w:r>
        <w:rPr>
          <w:rFonts w:hint="eastAsia" w:asciiTheme="minorEastAsia" w:hAnsiTheme="minorEastAsia" w:eastAsiaTheme="minorEastAsia"/>
          <w:snapToGrid w:val="0"/>
          <w:color w:val="000000" w:themeColor="text1"/>
          <w:kern w:val="0"/>
          <w:sz w:val="28"/>
          <w:szCs w:val="28"/>
        </w:rPr>
        <w:t>其余均符合</w:t>
      </w:r>
      <w:r>
        <w:rPr>
          <w:rFonts w:asciiTheme="minorEastAsia" w:hAnsiTheme="minorEastAsia" w:eastAsiaTheme="minorEastAsia"/>
          <w:snapToGrid w:val="0"/>
          <w:color w:val="000000" w:themeColor="text1"/>
          <w:kern w:val="0"/>
          <w:sz w:val="28"/>
          <w:szCs w:val="28"/>
        </w:rPr>
        <w:t>《低压配电设计规范》（GB50054-2011）、《汽车加油加气加氢站技术标准》（GB50156-2021）、《加油加气站视频安防监控系统技术要求》（AQT3050-2013）、《通用用电设备配电设计规范》（GB50055-2011）、《20kV及以下变电所设计规范》（GB50053-2013）、《用电安全导则》（GB/T 13869-2017）等标准、规范的要求。</w:t>
      </w:r>
      <w:bookmarkStart w:id="1848" w:name="_Toc30966"/>
      <w:bookmarkStart w:id="1849" w:name="_Toc21646"/>
      <w:bookmarkStart w:id="1850" w:name="_Toc13421"/>
      <w:bookmarkStart w:id="1851" w:name="_Toc30398"/>
      <w:bookmarkStart w:id="1852" w:name="_Toc28317"/>
      <w:bookmarkStart w:id="1853" w:name="_Toc27692"/>
      <w:bookmarkStart w:id="1854" w:name="_Toc25830"/>
      <w:bookmarkStart w:id="1855" w:name="_Toc8404"/>
      <w:bookmarkStart w:id="1856" w:name="_Toc26093"/>
      <w:bookmarkStart w:id="1857" w:name="_Toc30334"/>
      <w:bookmarkStart w:id="1858" w:name="_Toc26521"/>
      <w:bookmarkStart w:id="1859" w:name="_Toc8410"/>
      <w:bookmarkStart w:id="1860" w:name="_Toc14399"/>
      <w:bookmarkStart w:id="1861" w:name="_Toc20531"/>
      <w:bookmarkStart w:id="1862" w:name="_Toc25908"/>
    </w:p>
    <w:p>
      <w:pPr>
        <w:spacing w:line="500" w:lineRule="exact"/>
        <w:ind w:firstLine="560" w:firstLineChars="200"/>
        <w:rPr>
          <w:rFonts w:asciiTheme="minorEastAsia" w:hAnsiTheme="minorEastAsia" w:eastAsiaTheme="minorEastAsia"/>
          <w:snapToGrid w:val="0"/>
          <w:color w:val="000000" w:themeColor="text1"/>
          <w:kern w:val="0"/>
          <w:sz w:val="28"/>
          <w:szCs w:val="28"/>
        </w:rPr>
      </w:pPr>
      <w:r>
        <w:rPr>
          <w:rFonts w:hint="eastAsia" w:asciiTheme="minorEastAsia" w:hAnsiTheme="minorEastAsia" w:eastAsiaTheme="minorEastAsia"/>
          <w:snapToGrid w:val="0"/>
          <w:color w:val="000000" w:themeColor="text1"/>
          <w:kern w:val="0"/>
          <w:sz w:val="28"/>
          <w:szCs w:val="28"/>
        </w:rPr>
        <w:t>2.</w:t>
      </w:r>
      <w:r>
        <w:rPr>
          <w:rFonts w:asciiTheme="minorEastAsia" w:hAnsiTheme="minorEastAsia" w:eastAsiaTheme="minorEastAsia"/>
          <w:snapToGrid w:val="0"/>
          <w:color w:val="000000" w:themeColor="text1"/>
          <w:kern w:val="0"/>
          <w:sz w:val="28"/>
          <w:szCs w:val="28"/>
        </w:rPr>
        <w:t>该项目消防及给水系统除办公区未设置手提式灭火器外，其余均符合《建筑灭火器配置设计规范》（GB50140-2005）、《汽车加油加气加氢站技术标准》（GB50156-2021）、《云南省消防条例》（2001年3月29日省九届人大常委会第二十一次会议通过）等</w:t>
      </w:r>
      <w:r>
        <w:rPr>
          <w:rFonts w:hint="eastAsia" w:asciiTheme="minorEastAsia" w:hAnsiTheme="minorEastAsia" w:eastAsiaTheme="minorEastAsia"/>
          <w:snapToGrid w:val="0"/>
          <w:color w:val="000000" w:themeColor="text1"/>
          <w:kern w:val="0"/>
          <w:sz w:val="28"/>
          <w:szCs w:val="28"/>
        </w:rPr>
        <w:t>法规、</w:t>
      </w:r>
      <w:r>
        <w:rPr>
          <w:rFonts w:asciiTheme="minorEastAsia" w:hAnsiTheme="minorEastAsia" w:eastAsiaTheme="minorEastAsia"/>
          <w:snapToGrid w:val="0"/>
          <w:color w:val="000000" w:themeColor="text1"/>
          <w:kern w:val="0"/>
          <w:sz w:val="28"/>
          <w:szCs w:val="28"/>
        </w:rPr>
        <w:t>标准规范的要求。</w:t>
      </w:r>
    </w:p>
    <w:p>
      <w:pPr>
        <w:spacing w:line="500" w:lineRule="exact"/>
        <w:ind w:firstLine="560" w:firstLineChars="200"/>
        <w:rPr>
          <w:rFonts w:asciiTheme="minorEastAsia" w:hAnsiTheme="minorEastAsia" w:eastAsiaTheme="minorEastAsia"/>
          <w:snapToGrid w:val="0"/>
          <w:color w:val="000000" w:themeColor="text1"/>
          <w:kern w:val="0"/>
          <w:sz w:val="28"/>
          <w:szCs w:val="28"/>
        </w:rPr>
      </w:pPr>
      <w:r>
        <w:rPr>
          <w:rFonts w:hint="eastAsia" w:asciiTheme="minorEastAsia" w:hAnsiTheme="minorEastAsia" w:eastAsiaTheme="minorEastAsia"/>
          <w:snapToGrid w:val="0"/>
          <w:color w:val="000000" w:themeColor="text1"/>
          <w:kern w:val="0"/>
          <w:sz w:val="28"/>
          <w:szCs w:val="28"/>
        </w:rPr>
        <w:t>3.</w:t>
      </w:r>
      <w:r>
        <w:rPr>
          <w:rFonts w:asciiTheme="minorEastAsia" w:hAnsiTheme="minorEastAsia" w:eastAsiaTheme="minorEastAsia"/>
          <w:snapToGrid w:val="0"/>
          <w:color w:val="000000" w:themeColor="text1"/>
          <w:kern w:val="0"/>
          <w:sz w:val="28"/>
          <w:szCs w:val="28"/>
        </w:rPr>
        <w:t>该项目防雷、防静电装置</w:t>
      </w:r>
      <w:r>
        <w:rPr>
          <w:rFonts w:hint="eastAsia" w:asciiTheme="minorEastAsia" w:hAnsiTheme="minorEastAsia" w:eastAsiaTheme="minorEastAsia"/>
          <w:snapToGrid w:val="0"/>
          <w:color w:val="000000" w:themeColor="text1"/>
          <w:kern w:val="0"/>
          <w:sz w:val="28"/>
          <w:szCs w:val="28"/>
        </w:rPr>
        <w:t>除现场未设置静电接地装置，未设置人体静电释放装置外，其他符合</w:t>
      </w:r>
      <w:r>
        <w:rPr>
          <w:rFonts w:eastAsiaTheme="minorEastAsia"/>
          <w:snapToGrid w:val="0"/>
          <w:color w:val="000000" w:themeColor="text1"/>
          <w:kern w:val="0"/>
          <w:sz w:val="28"/>
          <w:szCs w:val="28"/>
        </w:rPr>
        <w:t>《汽车加油加气</w:t>
      </w:r>
      <w:r>
        <w:rPr>
          <w:rFonts w:hint="eastAsia" w:eastAsiaTheme="minorEastAsia"/>
          <w:snapToGrid w:val="0"/>
          <w:color w:val="000000" w:themeColor="text1"/>
          <w:kern w:val="0"/>
          <w:sz w:val="28"/>
          <w:szCs w:val="28"/>
        </w:rPr>
        <w:t>加氢技术标准</w:t>
      </w:r>
      <w:r>
        <w:rPr>
          <w:rFonts w:eastAsiaTheme="minorEastAsia"/>
          <w:snapToGrid w:val="0"/>
          <w:color w:val="000000" w:themeColor="text1"/>
          <w:kern w:val="0"/>
          <w:sz w:val="28"/>
          <w:szCs w:val="28"/>
        </w:rPr>
        <w:t>》（GB50156-2021）的要求</w:t>
      </w:r>
      <w:r>
        <w:rPr>
          <w:rFonts w:asciiTheme="minorEastAsia" w:hAnsiTheme="minorEastAsia" w:eastAsiaTheme="minorEastAsia"/>
          <w:snapToGrid w:val="0"/>
          <w:color w:val="000000" w:themeColor="text1"/>
          <w:kern w:val="0"/>
          <w:sz w:val="28"/>
          <w:szCs w:val="28"/>
        </w:rPr>
        <w:t>。</w:t>
      </w:r>
    </w:p>
    <w:p>
      <w:pPr>
        <w:pStyle w:val="19"/>
        <w:spacing w:afterLines="100" w:line="500" w:lineRule="exact"/>
        <w:jc w:val="center"/>
        <w:rPr>
          <w:rFonts w:ascii="楷体_GB2312" w:hAnsi="宋体" w:eastAsia="楷体_GB2312"/>
          <w:color w:val="000000" w:themeColor="text1"/>
          <w:kern w:val="3"/>
        </w:rPr>
      </w:pPr>
      <w:bookmarkStart w:id="1863" w:name="_Toc10_WPSOffice_Level2"/>
      <w:r>
        <w:rPr>
          <w:rFonts w:hint="eastAsia" w:ascii="楷体_GB2312" w:hAnsi="宋体" w:eastAsia="楷体_GB2312"/>
          <w:color w:val="000000" w:themeColor="text1"/>
          <w:kern w:val="3"/>
        </w:rPr>
        <w:t>5.6安全设施评价单元</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pPr>
        <w:pStyle w:val="19"/>
        <w:spacing w:afterLines="100" w:line="500" w:lineRule="exact"/>
        <w:rPr>
          <w:rFonts w:ascii="黑体" w:hAnsi="宋体" w:eastAsia="黑体"/>
          <w:color w:val="000000" w:themeColor="text1"/>
          <w:kern w:val="3"/>
          <w:sz w:val="28"/>
          <w:szCs w:val="28"/>
        </w:rPr>
      </w:pPr>
      <w:bookmarkStart w:id="1864" w:name="_Toc18178"/>
      <w:bookmarkStart w:id="1865" w:name="_Toc13381"/>
      <w:bookmarkStart w:id="1866" w:name="_Toc22422"/>
      <w:bookmarkStart w:id="1867" w:name="_Toc12087"/>
      <w:bookmarkStart w:id="1868" w:name="_Toc22906"/>
      <w:bookmarkStart w:id="1869" w:name="_Toc9928"/>
      <w:bookmarkStart w:id="1870" w:name="_Toc10963"/>
      <w:bookmarkStart w:id="1871" w:name="_Toc24097"/>
      <w:bookmarkStart w:id="1872" w:name="_Toc32554"/>
      <w:bookmarkStart w:id="1873" w:name="_Toc20821"/>
      <w:r>
        <w:rPr>
          <w:rFonts w:hint="eastAsia" w:ascii="黑体" w:hAnsi="宋体" w:eastAsia="黑体"/>
          <w:color w:val="000000" w:themeColor="text1"/>
          <w:kern w:val="3"/>
          <w:sz w:val="28"/>
          <w:szCs w:val="28"/>
        </w:rPr>
        <w:t>5.6.1安全设施安全检查表</w:t>
      </w:r>
      <w:bookmarkEnd w:id="1864"/>
      <w:bookmarkEnd w:id="1865"/>
      <w:bookmarkEnd w:id="1866"/>
      <w:bookmarkEnd w:id="1867"/>
      <w:bookmarkEnd w:id="1868"/>
      <w:bookmarkEnd w:id="1869"/>
      <w:bookmarkEnd w:id="1870"/>
      <w:bookmarkEnd w:id="1871"/>
      <w:bookmarkEnd w:id="1872"/>
      <w:bookmarkEnd w:id="1873"/>
    </w:p>
    <w:p>
      <w:pPr>
        <w:spacing w:line="500" w:lineRule="exact"/>
        <w:ind w:firstLine="560" w:firstLineChars="200"/>
        <w:rPr>
          <w:rFonts w:eastAsiaTheme="minorEastAsia"/>
          <w:color w:val="000000" w:themeColor="text1"/>
          <w:kern w:val="0"/>
          <w:sz w:val="28"/>
          <w:szCs w:val="28"/>
        </w:rPr>
      </w:pPr>
      <w:r>
        <w:rPr>
          <w:rFonts w:eastAsiaTheme="minorEastAsia"/>
          <w:color w:val="000000" w:themeColor="text1"/>
          <w:kern w:val="0"/>
          <w:sz w:val="28"/>
          <w:szCs w:val="28"/>
        </w:rPr>
        <w:t>根据</w:t>
      </w:r>
      <w:r>
        <w:rPr>
          <w:bCs/>
          <w:color w:val="000000" w:themeColor="text1"/>
          <w:kern w:val="0"/>
          <w:sz w:val="28"/>
          <w:szCs w:val="28"/>
        </w:rPr>
        <w:t>《生产设备安全卫生设计总则》（</w:t>
      </w:r>
      <w:r>
        <w:rPr>
          <w:rFonts w:hint="eastAsia"/>
          <w:bCs/>
          <w:color w:val="000000" w:themeColor="text1"/>
          <w:kern w:val="0"/>
          <w:sz w:val="28"/>
          <w:szCs w:val="28"/>
          <w:lang w:eastAsia="zh-CN"/>
        </w:rPr>
        <w:t>GB5083-2023</w:t>
      </w:r>
      <w:r>
        <w:rPr>
          <w:bCs/>
          <w:color w:val="000000" w:themeColor="text1"/>
          <w:kern w:val="0"/>
          <w:sz w:val="28"/>
          <w:szCs w:val="28"/>
        </w:rPr>
        <w:t>）、《化学品作业场所安全警示标志规范》（AQ 3047</w:t>
      </w:r>
      <w:r>
        <w:rPr>
          <w:rFonts w:hint="eastAsia"/>
          <w:bCs/>
          <w:color w:val="000000" w:themeColor="text1"/>
          <w:kern w:val="0"/>
          <w:sz w:val="28"/>
          <w:szCs w:val="28"/>
        </w:rPr>
        <w:t>-</w:t>
      </w:r>
      <w:r>
        <w:rPr>
          <w:bCs/>
          <w:color w:val="000000" w:themeColor="text1"/>
          <w:kern w:val="0"/>
          <w:sz w:val="28"/>
          <w:szCs w:val="28"/>
        </w:rPr>
        <w:t>2013）、《工业企业设计卫生标准》（GBZ1-2010）、《固定式钢梯及平台安全要求 第3部分工业防护栏杆及钢平台》</w:t>
      </w:r>
      <w:r>
        <w:rPr>
          <w:rFonts w:hint="eastAsia"/>
          <w:bCs/>
          <w:color w:val="000000" w:themeColor="text1"/>
          <w:kern w:val="0"/>
          <w:sz w:val="28"/>
          <w:szCs w:val="28"/>
        </w:rPr>
        <w:t>（</w:t>
      </w:r>
      <w:r>
        <w:rPr>
          <w:bCs/>
          <w:color w:val="000000" w:themeColor="text1"/>
          <w:kern w:val="0"/>
          <w:sz w:val="28"/>
          <w:szCs w:val="28"/>
        </w:rPr>
        <w:t>GB 4053.3-2009</w:t>
      </w:r>
      <w:r>
        <w:rPr>
          <w:rFonts w:hint="eastAsia"/>
          <w:bCs/>
          <w:color w:val="000000" w:themeColor="text1"/>
          <w:kern w:val="0"/>
          <w:sz w:val="28"/>
          <w:szCs w:val="28"/>
        </w:rPr>
        <w:t>）</w:t>
      </w:r>
      <w:r>
        <w:rPr>
          <w:bCs/>
          <w:color w:val="000000" w:themeColor="text1"/>
          <w:kern w:val="0"/>
          <w:sz w:val="28"/>
          <w:szCs w:val="28"/>
        </w:rPr>
        <w:t>、《化工企业安全卫生设计规范》（HG20571-2014）、《工业管道的基本识别色、识别符合和安全标识》（GB231-2003）</w:t>
      </w:r>
      <w:r>
        <w:rPr>
          <w:rFonts w:hint="eastAsia"/>
          <w:bCs/>
          <w:color w:val="000000" w:themeColor="text1"/>
          <w:kern w:val="0"/>
          <w:sz w:val="28"/>
          <w:szCs w:val="28"/>
        </w:rPr>
        <w:t>、</w:t>
      </w:r>
      <w:r>
        <w:rPr>
          <w:bCs/>
          <w:color w:val="000000" w:themeColor="text1"/>
          <w:kern w:val="0"/>
          <w:sz w:val="28"/>
          <w:szCs w:val="28"/>
        </w:rPr>
        <w:t>《机械安全防护装置 固定式和活动式防护装置的设计与制造一般要求》（GB/T 8196-2018）</w:t>
      </w:r>
      <w:r>
        <w:rPr>
          <w:rFonts w:hint="eastAsia"/>
          <w:bCs/>
          <w:color w:val="000000" w:themeColor="text1"/>
          <w:kern w:val="0"/>
          <w:sz w:val="28"/>
          <w:szCs w:val="28"/>
        </w:rPr>
        <w:t>、</w:t>
      </w:r>
      <w:r>
        <w:rPr>
          <w:bCs/>
          <w:color w:val="000000" w:themeColor="text1"/>
          <w:kern w:val="0"/>
          <w:sz w:val="28"/>
          <w:szCs w:val="28"/>
        </w:rPr>
        <w:t>《爆炸危险环境电力装置设计规范》（GB50058-2014）</w:t>
      </w:r>
      <w:r>
        <w:rPr>
          <w:rFonts w:hint="eastAsia"/>
          <w:bCs/>
          <w:color w:val="000000" w:themeColor="text1"/>
          <w:kern w:val="0"/>
          <w:sz w:val="28"/>
          <w:szCs w:val="28"/>
        </w:rPr>
        <w:t>、</w:t>
      </w:r>
      <w:r>
        <w:rPr>
          <w:bCs/>
          <w:color w:val="000000" w:themeColor="text1"/>
          <w:kern w:val="0"/>
          <w:sz w:val="28"/>
          <w:szCs w:val="28"/>
        </w:rPr>
        <w:t>《汽车加油加气加氢站技术标准》（GB50156-2021）</w:t>
      </w:r>
      <w:r>
        <w:rPr>
          <w:rFonts w:eastAsiaTheme="minorEastAsia"/>
          <w:color w:val="000000" w:themeColor="text1"/>
          <w:kern w:val="0"/>
          <w:sz w:val="28"/>
          <w:szCs w:val="28"/>
        </w:rPr>
        <w:t>等标准、规范的要求对该项目涉及的安全设施进行分析评价，具体情况如下表所示：</w:t>
      </w:r>
    </w:p>
    <w:p>
      <w:pPr>
        <w:spacing w:line="500" w:lineRule="exact"/>
        <w:jc w:val="center"/>
        <w:rPr>
          <w:rFonts w:eastAsiaTheme="minorEastAsia"/>
          <w:bCs/>
          <w:color w:val="000000" w:themeColor="text1"/>
          <w:sz w:val="24"/>
          <w:szCs w:val="30"/>
        </w:rPr>
      </w:pPr>
      <w:r>
        <w:rPr>
          <w:rFonts w:eastAsiaTheme="minorEastAsia"/>
          <w:bCs/>
          <w:color w:val="000000" w:themeColor="text1"/>
          <w:sz w:val="24"/>
          <w:szCs w:val="30"/>
        </w:rPr>
        <w:t>表5-1</w:t>
      </w:r>
      <w:r>
        <w:rPr>
          <w:rFonts w:hint="eastAsia" w:eastAsiaTheme="minorEastAsia"/>
          <w:bCs/>
          <w:color w:val="000000" w:themeColor="text1"/>
          <w:sz w:val="24"/>
          <w:szCs w:val="30"/>
        </w:rPr>
        <w:t>3</w:t>
      </w:r>
      <w:r>
        <w:rPr>
          <w:rFonts w:eastAsiaTheme="minorEastAsia"/>
          <w:bCs/>
          <w:color w:val="000000" w:themeColor="text1"/>
          <w:sz w:val="24"/>
          <w:szCs w:val="30"/>
        </w:rPr>
        <w:t xml:space="preserve"> 安全设施设置情况检查表</w:t>
      </w:r>
    </w:p>
    <w:tbl>
      <w:tblPr>
        <w:tblStyle w:val="52"/>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2977"/>
        <w:gridCol w:w="2552"/>
        <w:gridCol w:w="2268"/>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73" w:type="dxa"/>
            <w:vAlign w:val="center"/>
          </w:tcPr>
          <w:p>
            <w:pPr>
              <w:spacing w:line="280" w:lineRule="exact"/>
              <w:jc w:val="center"/>
              <w:rPr>
                <w:rFonts w:eastAsiaTheme="minorEastAsia"/>
                <w:b/>
                <w:color w:val="000000" w:themeColor="text1"/>
                <w:szCs w:val="21"/>
              </w:rPr>
            </w:pPr>
            <w:bookmarkStart w:id="1874" w:name="_Toc25684"/>
            <w:bookmarkStart w:id="1875" w:name="_Toc5855"/>
            <w:bookmarkStart w:id="1876" w:name="_Toc7136"/>
            <w:bookmarkStart w:id="1877" w:name="_Toc30959"/>
            <w:bookmarkStart w:id="1878" w:name="_Toc21550"/>
            <w:bookmarkStart w:id="1879" w:name="_Toc14906"/>
            <w:bookmarkStart w:id="1880" w:name="_Toc23133"/>
            <w:bookmarkStart w:id="1881" w:name="_Toc23863"/>
            <w:bookmarkStart w:id="1882" w:name="_Toc27955"/>
            <w:bookmarkStart w:id="1883" w:name="_Toc6558"/>
            <w:r>
              <w:rPr>
                <w:rFonts w:eastAsiaTheme="minorEastAsia"/>
                <w:b/>
                <w:color w:val="000000" w:themeColor="text1"/>
                <w:szCs w:val="21"/>
              </w:rPr>
              <w:t>序号</w:t>
            </w:r>
          </w:p>
        </w:tc>
        <w:tc>
          <w:tcPr>
            <w:tcW w:w="2977" w:type="dxa"/>
            <w:vAlign w:val="center"/>
          </w:tcPr>
          <w:p>
            <w:pPr>
              <w:suppressAutoHyphens/>
              <w:spacing w:line="280" w:lineRule="exact"/>
              <w:ind w:firstLine="211" w:firstLineChars="100"/>
              <w:jc w:val="center"/>
              <w:rPr>
                <w:rFonts w:eastAsiaTheme="minorEastAsia"/>
                <w:b/>
                <w:snapToGrid w:val="0"/>
                <w:color w:val="000000" w:themeColor="text1"/>
                <w:kern w:val="0"/>
                <w:szCs w:val="21"/>
              </w:rPr>
            </w:pPr>
            <w:r>
              <w:rPr>
                <w:rFonts w:eastAsiaTheme="minorEastAsia"/>
                <w:b/>
                <w:snapToGrid w:val="0"/>
                <w:color w:val="000000" w:themeColor="text1"/>
                <w:kern w:val="0"/>
                <w:szCs w:val="21"/>
              </w:rPr>
              <w:t>检查内容</w:t>
            </w:r>
          </w:p>
        </w:tc>
        <w:tc>
          <w:tcPr>
            <w:tcW w:w="2552" w:type="dxa"/>
            <w:vAlign w:val="center"/>
          </w:tcPr>
          <w:p>
            <w:pPr>
              <w:suppressAutoHyphens/>
              <w:spacing w:line="280" w:lineRule="exact"/>
              <w:jc w:val="center"/>
              <w:rPr>
                <w:rFonts w:eastAsiaTheme="minorEastAsia"/>
                <w:b/>
                <w:snapToGrid w:val="0"/>
                <w:color w:val="000000" w:themeColor="text1"/>
                <w:kern w:val="0"/>
                <w:szCs w:val="21"/>
              </w:rPr>
            </w:pPr>
            <w:r>
              <w:rPr>
                <w:rFonts w:eastAsiaTheme="minorEastAsia"/>
                <w:b/>
                <w:snapToGrid w:val="0"/>
                <w:color w:val="000000" w:themeColor="text1"/>
                <w:kern w:val="0"/>
                <w:szCs w:val="21"/>
              </w:rPr>
              <w:t>检查依据</w:t>
            </w:r>
          </w:p>
        </w:tc>
        <w:tc>
          <w:tcPr>
            <w:tcW w:w="2268" w:type="dxa"/>
            <w:vAlign w:val="center"/>
          </w:tcPr>
          <w:p>
            <w:pPr>
              <w:suppressAutoHyphens/>
              <w:spacing w:line="280" w:lineRule="exact"/>
              <w:jc w:val="center"/>
              <w:rPr>
                <w:rFonts w:eastAsiaTheme="minorEastAsia"/>
                <w:b/>
                <w:snapToGrid w:val="0"/>
                <w:color w:val="000000" w:themeColor="text1"/>
                <w:kern w:val="0"/>
                <w:szCs w:val="21"/>
              </w:rPr>
            </w:pPr>
            <w:r>
              <w:rPr>
                <w:rFonts w:eastAsiaTheme="minorEastAsia"/>
                <w:b/>
                <w:snapToGrid w:val="0"/>
                <w:color w:val="000000" w:themeColor="text1"/>
                <w:kern w:val="0"/>
                <w:szCs w:val="21"/>
              </w:rPr>
              <w:t>检查情况</w:t>
            </w:r>
          </w:p>
        </w:tc>
        <w:tc>
          <w:tcPr>
            <w:tcW w:w="748" w:type="dxa"/>
            <w:vAlign w:val="center"/>
          </w:tcPr>
          <w:p>
            <w:pPr>
              <w:suppressAutoHyphens/>
              <w:spacing w:line="280" w:lineRule="exact"/>
              <w:jc w:val="center"/>
              <w:rPr>
                <w:rFonts w:eastAsiaTheme="minorEastAsia"/>
                <w:b/>
                <w:snapToGrid w:val="0"/>
                <w:color w:val="000000" w:themeColor="text1"/>
                <w:kern w:val="0"/>
                <w:szCs w:val="21"/>
              </w:rPr>
            </w:pPr>
            <w:r>
              <w:rPr>
                <w:rFonts w:eastAsiaTheme="minorEastAsia"/>
                <w:b/>
                <w:snapToGrid w:val="0"/>
                <w:color w:val="000000" w:themeColor="text1"/>
                <w:kern w:val="0"/>
                <w:szCs w:val="21"/>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spacing w:line="280" w:lineRule="exact"/>
              <w:jc w:val="center"/>
              <w:rPr>
                <w:rFonts w:eastAsiaTheme="minorEastAsia"/>
                <w:b/>
                <w:color w:val="000000" w:themeColor="text1"/>
                <w:szCs w:val="21"/>
              </w:rPr>
            </w:pPr>
            <w:r>
              <w:rPr>
                <w:rFonts w:eastAsiaTheme="minorEastAsia"/>
                <w:b/>
                <w:color w:val="000000" w:themeColor="text1"/>
                <w:szCs w:val="21"/>
              </w:rPr>
              <w:t>一</w:t>
            </w:r>
          </w:p>
        </w:tc>
        <w:tc>
          <w:tcPr>
            <w:tcW w:w="2977" w:type="dxa"/>
            <w:vAlign w:val="center"/>
          </w:tcPr>
          <w:p>
            <w:pPr>
              <w:suppressAutoHyphens/>
              <w:spacing w:line="280" w:lineRule="exact"/>
              <w:rPr>
                <w:rFonts w:eastAsiaTheme="minorEastAsia"/>
                <w:b/>
                <w:snapToGrid w:val="0"/>
                <w:color w:val="000000" w:themeColor="text1"/>
                <w:kern w:val="0"/>
                <w:szCs w:val="21"/>
              </w:rPr>
            </w:pPr>
            <w:r>
              <w:rPr>
                <w:rFonts w:eastAsiaTheme="minorEastAsia"/>
                <w:b/>
                <w:snapToGrid w:val="0"/>
                <w:color w:val="000000" w:themeColor="text1"/>
                <w:kern w:val="0"/>
                <w:szCs w:val="21"/>
              </w:rPr>
              <w:t>防火、防爆设施</w:t>
            </w:r>
          </w:p>
        </w:tc>
        <w:tc>
          <w:tcPr>
            <w:tcW w:w="2552" w:type="dxa"/>
            <w:vAlign w:val="center"/>
          </w:tcPr>
          <w:p>
            <w:pPr>
              <w:suppressAutoHyphens/>
              <w:spacing w:line="280" w:lineRule="exact"/>
              <w:jc w:val="center"/>
              <w:rPr>
                <w:rFonts w:eastAsiaTheme="minorEastAsia"/>
                <w:b/>
                <w:snapToGrid w:val="0"/>
                <w:color w:val="000000" w:themeColor="text1"/>
                <w:kern w:val="0"/>
                <w:szCs w:val="21"/>
              </w:rPr>
            </w:pPr>
          </w:p>
        </w:tc>
        <w:tc>
          <w:tcPr>
            <w:tcW w:w="2268" w:type="dxa"/>
            <w:vAlign w:val="center"/>
          </w:tcPr>
          <w:p>
            <w:pPr>
              <w:suppressAutoHyphens/>
              <w:spacing w:line="280" w:lineRule="exact"/>
              <w:jc w:val="center"/>
              <w:rPr>
                <w:rFonts w:eastAsiaTheme="minorEastAsia"/>
                <w:b/>
                <w:snapToGrid w:val="0"/>
                <w:color w:val="000000" w:themeColor="text1"/>
                <w:kern w:val="0"/>
                <w:szCs w:val="21"/>
              </w:rPr>
            </w:pPr>
          </w:p>
        </w:tc>
        <w:tc>
          <w:tcPr>
            <w:tcW w:w="748" w:type="dxa"/>
            <w:vAlign w:val="center"/>
          </w:tcPr>
          <w:p>
            <w:pPr>
              <w:suppressAutoHyphens/>
              <w:spacing w:line="280" w:lineRule="exact"/>
              <w:jc w:val="center"/>
              <w:rPr>
                <w:rFonts w:eastAsiaTheme="minorEastAsia"/>
                <w:b/>
                <w:snapToGrid w:val="0"/>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szCs w:val="21"/>
              </w:rPr>
            </w:pPr>
            <w:r>
              <w:rPr>
                <w:rFonts w:eastAsiaTheme="minorEastAsia"/>
                <w:color w:val="000000" w:themeColor="text1"/>
                <w:szCs w:val="21"/>
              </w:rPr>
              <w:t>在爆炸性气体环境中，应采取下列防止爆炸的措施：（1）产生爆炸的条件同时出现的可能性应减到最小程度；（2）工艺设计中应采取消除或减少可燃物质的释放及积聚的措施；（3）防止爆炸性气体混合物的形成或缩短爆炸性气体混合物的滞留时间；（4）在区域内应采取消除或控制设备线路产生火花、电弧或高温的措施。</w:t>
            </w:r>
          </w:p>
        </w:tc>
        <w:tc>
          <w:tcPr>
            <w:tcW w:w="2552" w:type="dxa"/>
            <w:vAlign w:val="center"/>
          </w:tcPr>
          <w:p>
            <w:pPr>
              <w:tabs>
                <w:tab w:val="left" w:pos="2898"/>
              </w:tabs>
              <w:spacing w:line="280" w:lineRule="exact"/>
              <w:jc w:val="center"/>
              <w:rPr>
                <w:rFonts w:eastAsiaTheme="minorEastAsia"/>
                <w:color w:val="000000" w:themeColor="text1"/>
                <w:szCs w:val="21"/>
              </w:rPr>
            </w:pPr>
            <w:r>
              <w:rPr>
                <w:rFonts w:eastAsiaTheme="minorEastAsia"/>
                <w:color w:val="000000" w:themeColor="text1"/>
                <w:szCs w:val="21"/>
              </w:rPr>
              <w:t>《爆炸危险环境电力装置设计规范》（GB50058-2014）</w:t>
            </w:r>
          </w:p>
          <w:p>
            <w:pPr>
              <w:tabs>
                <w:tab w:val="left" w:pos="2898"/>
              </w:tabs>
              <w:spacing w:line="280" w:lineRule="exact"/>
              <w:jc w:val="center"/>
              <w:rPr>
                <w:rFonts w:eastAsiaTheme="minorEastAsia"/>
                <w:color w:val="000000" w:themeColor="text1"/>
                <w:szCs w:val="21"/>
              </w:rPr>
            </w:pPr>
            <w:r>
              <w:rPr>
                <w:rFonts w:eastAsiaTheme="minorEastAsia"/>
                <w:color w:val="000000" w:themeColor="text1"/>
                <w:szCs w:val="21"/>
              </w:rPr>
              <w:t>第3.1.3条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该项目甲醇储罐、</w:t>
            </w:r>
            <w:r>
              <w:rPr>
                <w:rFonts w:hint="eastAsia" w:eastAsiaTheme="minorEastAsia"/>
                <w:color w:val="000000" w:themeColor="text1"/>
                <w:szCs w:val="21"/>
              </w:rPr>
              <w:t>加注区</w:t>
            </w:r>
            <w:r>
              <w:rPr>
                <w:rFonts w:eastAsiaTheme="minorEastAsia"/>
                <w:color w:val="000000" w:themeColor="text1"/>
                <w:szCs w:val="21"/>
              </w:rPr>
              <w:t>、卸油口均露天设置。</w:t>
            </w:r>
          </w:p>
        </w:tc>
        <w:tc>
          <w:tcPr>
            <w:tcW w:w="748"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szCs w:val="21"/>
              </w:rPr>
            </w:pPr>
            <w:r>
              <w:rPr>
                <w:rFonts w:eastAsiaTheme="minorEastAsia"/>
                <w:color w:val="000000" w:themeColor="text1"/>
                <w:szCs w:val="21"/>
              </w:rPr>
              <w:t>有火灾爆炸危险场所的建（构）筑物的结构形式以及选用的材料，应符合现行国家标准《建筑设计防火规范》GB50016中的防火防爆规定。</w:t>
            </w:r>
          </w:p>
        </w:tc>
        <w:tc>
          <w:tcPr>
            <w:tcW w:w="2552" w:type="dxa"/>
            <w:vAlign w:val="center"/>
          </w:tcPr>
          <w:p>
            <w:pPr>
              <w:spacing w:line="280" w:lineRule="exact"/>
              <w:rPr>
                <w:rFonts w:eastAsiaTheme="minorEastAsia"/>
                <w:color w:val="000000" w:themeColor="text1"/>
                <w:szCs w:val="21"/>
              </w:rPr>
            </w:pPr>
            <w:r>
              <w:rPr>
                <w:rFonts w:eastAsiaTheme="minorEastAsia"/>
                <w:color w:val="000000" w:themeColor="text1"/>
                <w:szCs w:val="21"/>
              </w:rPr>
              <w:t>《化工企业安全卫生设计规范》（HG20571-2014）</w:t>
            </w:r>
          </w:p>
          <w:p>
            <w:pPr>
              <w:tabs>
                <w:tab w:val="left" w:pos="2898"/>
              </w:tabs>
              <w:spacing w:line="280" w:lineRule="exact"/>
              <w:jc w:val="center"/>
              <w:rPr>
                <w:rFonts w:eastAsiaTheme="minorEastAsia"/>
                <w:color w:val="000000" w:themeColor="text1"/>
                <w:szCs w:val="21"/>
              </w:rPr>
            </w:pPr>
            <w:r>
              <w:rPr>
                <w:rFonts w:eastAsiaTheme="minorEastAsia"/>
                <w:color w:val="000000" w:themeColor="text1"/>
                <w:szCs w:val="21"/>
              </w:rPr>
              <w:t>第4.1.6条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该项目各区涉及的建筑物的耐火等级、防火防爆能满足要求。</w:t>
            </w:r>
          </w:p>
        </w:tc>
        <w:tc>
          <w:tcPr>
            <w:tcW w:w="748"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tabs>
                <w:tab w:val="left" w:pos="533"/>
              </w:tabs>
              <w:spacing w:line="280" w:lineRule="exact"/>
              <w:rPr>
                <w:rFonts w:eastAsiaTheme="minorEastAsia"/>
                <w:b/>
                <w:color w:val="000000" w:themeColor="text1"/>
                <w:szCs w:val="21"/>
              </w:rPr>
            </w:pPr>
            <w:r>
              <w:rPr>
                <w:rFonts w:eastAsiaTheme="minorEastAsia"/>
                <w:b/>
                <w:color w:val="000000" w:themeColor="text1"/>
                <w:szCs w:val="21"/>
              </w:rPr>
              <w:t>二</w:t>
            </w:r>
          </w:p>
        </w:tc>
        <w:tc>
          <w:tcPr>
            <w:tcW w:w="2977" w:type="dxa"/>
            <w:vAlign w:val="center"/>
          </w:tcPr>
          <w:p>
            <w:pPr>
              <w:spacing w:line="280" w:lineRule="exact"/>
              <w:rPr>
                <w:rFonts w:eastAsiaTheme="minorEastAsia"/>
                <w:b/>
                <w:color w:val="000000" w:themeColor="text1"/>
                <w:szCs w:val="21"/>
              </w:rPr>
            </w:pPr>
            <w:r>
              <w:rPr>
                <w:rFonts w:eastAsiaTheme="minorEastAsia"/>
                <w:b/>
                <w:color w:val="000000" w:themeColor="text1"/>
                <w:szCs w:val="21"/>
              </w:rPr>
              <w:t>防中毒、窒息</w:t>
            </w:r>
          </w:p>
        </w:tc>
        <w:tc>
          <w:tcPr>
            <w:tcW w:w="2552" w:type="dxa"/>
            <w:vAlign w:val="center"/>
          </w:tcPr>
          <w:p>
            <w:pPr>
              <w:spacing w:line="280" w:lineRule="exact"/>
              <w:rPr>
                <w:rFonts w:eastAsiaTheme="minorEastAsia"/>
                <w:color w:val="000000" w:themeColor="text1"/>
                <w:szCs w:val="21"/>
              </w:rPr>
            </w:pPr>
          </w:p>
        </w:tc>
        <w:tc>
          <w:tcPr>
            <w:tcW w:w="2268" w:type="dxa"/>
            <w:vAlign w:val="center"/>
          </w:tcPr>
          <w:p>
            <w:pPr>
              <w:spacing w:line="280" w:lineRule="exact"/>
              <w:rPr>
                <w:rFonts w:eastAsiaTheme="minorEastAsia"/>
                <w:color w:val="000000" w:themeColor="text1"/>
                <w:szCs w:val="21"/>
              </w:rPr>
            </w:pPr>
          </w:p>
        </w:tc>
        <w:tc>
          <w:tcPr>
            <w:tcW w:w="748" w:type="dxa"/>
            <w:vAlign w:val="center"/>
          </w:tcPr>
          <w:p>
            <w:pPr>
              <w:spacing w:line="280" w:lineRule="exact"/>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szCs w:val="21"/>
              </w:rPr>
            </w:pPr>
            <w:r>
              <w:rPr>
                <w:rFonts w:eastAsiaTheme="minorEastAsia"/>
                <w:color w:val="000000" w:themeColor="text1"/>
                <w:szCs w:val="21"/>
              </w:rPr>
              <w:t>对产生粉尘、毒物的生产过程和设备（含露天作业的工艺设备），应优先采用机械化和自动化，避免直接人工操作。为防止物料跑、冒、滴、漏，其设备和管道应采取有效的密闭措施，密闭形式应根据工艺流程、设备特点、生产工艺、安全要求及便于操作、维修等因素确定，并应结合生产工艺采取通风和净化措施。对移动的扬尘和逸散毒物的作业，应与主体工程同时设计移动式轻便防尘和排毒设备。</w:t>
            </w:r>
          </w:p>
        </w:tc>
        <w:tc>
          <w:tcPr>
            <w:tcW w:w="2552"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《工业企业设计卫生标准》（GBZ1-2010）</w:t>
            </w:r>
          </w:p>
          <w:p>
            <w:pPr>
              <w:spacing w:line="280" w:lineRule="exact"/>
              <w:jc w:val="center"/>
              <w:rPr>
                <w:rFonts w:eastAsiaTheme="minorEastAsia"/>
                <w:color w:val="000000" w:themeColor="text1"/>
                <w:szCs w:val="21"/>
              </w:rPr>
            </w:pPr>
            <w:r>
              <w:rPr>
                <w:rFonts w:eastAsiaTheme="minorEastAsia"/>
                <w:color w:val="000000" w:themeColor="text1"/>
                <w:szCs w:val="21"/>
              </w:rPr>
              <w:t>第6.1.1.2条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该项目主要危险有害物质为甲醇，其储存、装卸车设施处采取了密闭措施，</w:t>
            </w:r>
            <w:r>
              <w:rPr>
                <w:rFonts w:hint="eastAsia" w:eastAsiaTheme="minorEastAsia"/>
                <w:color w:val="000000" w:themeColor="text1"/>
                <w:szCs w:val="21"/>
              </w:rPr>
              <w:t>现场检查工作人员未穿戴防静电工作服进行作业</w:t>
            </w:r>
            <w:r>
              <w:rPr>
                <w:rFonts w:eastAsiaTheme="minorEastAsia"/>
                <w:color w:val="000000" w:themeColor="text1"/>
                <w:szCs w:val="21"/>
              </w:rPr>
              <w:t>。</w:t>
            </w:r>
          </w:p>
        </w:tc>
        <w:tc>
          <w:tcPr>
            <w:tcW w:w="748" w:type="dxa"/>
            <w:vAlign w:val="center"/>
          </w:tcPr>
          <w:p>
            <w:pPr>
              <w:spacing w:line="280" w:lineRule="exact"/>
              <w:jc w:val="center"/>
              <w:rPr>
                <w:rFonts w:eastAsiaTheme="minorEastAsia"/>
                <w:color w:val="000000" w:themeColor="text1"/>
                <w:szCs w:val="21"/>
              </w:rPr>
            </w:pPr>
            <w:r>
              <w:rPr>
                <w:rFonts w:hint="eastAsia" w:eastAsiaTheme="minorEastAsia"/>
                <w:color w:val="000000" w:themeColor="text1"/>
                <w:szCs w:val="21"/>
              </w:rPr>
              <w:t>不</w:t>
            </w: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tcPr>
          <w:p>
            <w:pPr>
              <w:spacing w:line="280" w:lineRule="exact"/>
              <w:rPr>
                <w:rFonts w:eastAsiaTheme="minorEastAsia"/>
                <w:color w:val="000000" w:themeColor="text1"/>
                <w:szCs w:val="21"/>
              </w:rPr>
            </w:pPr>
            <w:r>
              <w:rPr>
                <w:color w:val="000000" w:themeColor="text1"/>
                <w:szCs w:val="21"/>
              </w:rPr>
              <w:t>通风系统的组成及其布置应合理，能满足防尘、防毒的要求。容易凝结蒸气和聚积粉尘的通风管道、几种物质混合能引起爆炸、燃烧或形成危害更大的物质的通风管道，应设单独通风系统，不得相互连通。</w:t>
            </w:r>
          </w:p>
        </w:tc>
        <w:tc>
          <w:tcPr>
            <w:tcW w:w="2552"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《工业企业设计卫生标准》(GBZ1-2010）</w:t>
            </w:r>
          </w:p>
          <w:p>
            <w:pPr>
              <w:spacing w:line="280" w:lineRule="exact"/>
              <w:jc w:val="center"/>
              <w:rPr>
                <w:rFonts w:eastAsiaTheme="minorEastAsia"/>
                <w:color w:val="000000" w:themeColor="text1"/>
                <w:szCs w:val="21"/>
              </w:rPr>
            </w:pPr>
            <w:r>
              <w:rPr>
                <w:rFonts w:eastAsiaTheme="minorEastAsia"/>
                <w:color w:val="000000" w:themeColor="text1"/>
                <w:szCs w:val="21"/>
              </w:rPr>
              <w:t>第6.1.5.条第12款</w:t>
            </w:r>
          </w:p>
        </w:tc>
        <w:tc>
          <w:tcPr>
            <w:tcW w:w="2268" w:type="dxa"/>
            <w:vAlign w:val="center"/>
          </w:tcPr>
          <w:p>
            <w:pPr>
              <w:spacing w:line="280" w:lineRule="exact"/>
              <w:rPr>
                <w:rFonts w:eastAsiaTheme="minorEastAsia"/>
                <w:color w:val="000000" w:themeColor="text1"/>
                <w:szCs w:val="21"/>
              </w:rPr>
            </w:pPr>
            <w:r>
              <w:rPr>
                <w:color w:val="000000" w:themeColor="text1"/>
                <w:szCs w:val="21"/>
              </w:rPr>
              <w:t>该项目区甲醇储罐、装卸设施均为露天布置，各区通风良好，满足规范要求。</w:t>
            </w:r>
          </w:p>
        </w:tc>
        <w:tc>
          <w:tcPr>
            <w:tcW w:w="748" w:type="dxa"/>
            <w:vAlign w:val="center"/>
          </w:tcPr>
          <w:p>
            <w:pPr>
              <w:spacing w:line="280" w:lineRule="exact"/>
              <w:jc w:val="center"/>
              <w:rPr>
                <w:rFonts w:eastAsiaTheme="minorEastAsia"/>
                <w:color w:val="000000" w:themeColor="text1"/>
                <w:szCs w:val="21"/>
              </w:rPr>
            </w:pPr>
            <w:r>
              <w:rPr>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color w:val="000000" w:themeColor="text1"/>
                <w:szCs w:val="21"/>
              </w:rPr>
            </w:pPr>
            <w:r>
              <w:rPr>
                <w:rFonts w:eastAsiaTheme="minorEastAsia"/>
                <w:color w:val="000000" w:themeColor="text1"/>
                <w:kern w:val="0"/>
                <w:szCs w:val="21"/>
              </w:rPr>
              <w:t>防毒设施应依据车间自然通风风向、扬尘和逸散毒物的性质、作业点的位置和数量及作业方式等进行设计。经常有人来往的通道（地道、通廊），应有自然通风或机械通风，并不宜敷设有毒液体或有毒气体的。</w:t>
            </w:r>
          </w:p>
        </w:tc>
        <w:tc>
          <w:tcPr>
            <w:tcW w:w="2552" w:type="dxa"/>
            <w:vAlign w:val="center"/>
          </w:tcPr>
          <w:p>
            <w:pPr>
              <w:tabs>
                <w:tab w:val="left" w:pos="2898"/>
              </w:tabs>
              <w:spacing w:line="280" w:lineRule="exact"/>
              <w:jc w:val="center"/>
              <w:rPr>
                <w:rFonts w:eastAsiaTheme="minorEastAsia"/>
                <w:color w:val="000000" w:themeColor="text1"/>
                <w:szCs w:val="21"/>
              </w:rPr>
            </w:pPr>
            <w:r>
              <w:rPr>
                <w:rFonts w:eastAsiaTheme="minorEastAsia"/>
                <w:color w:val="000000" w:themeColor="text1"/>
                <w:szCs w:val="21"/>
              </w:rPr>
              <w:t>《工业企业设计卫生标准》（GBZ1-2010）</w:t>
            </w:r>
          </w:p>
          <w:p>
            <w:pPr>
              <w:spacing w:line="280" w:lineRule="exact"/>
              <w:jc w:val="center"/>
              <w:rPr>
                <w:rFonts w:eastAsiaTheme="minorEastAsia"/>
                <w:color w:val="000000" w:themeColor="text1"/>
                <w:szCs w:val="21"/>
              </w:rPr>
            </w:pPr>
            <w:r>
              <w:rPr>
                <w:rFonts w:eastAsiaTheme="minorEastAsia"/>
                <w:color w:val="000000" w:themeColor="text1"/>
                <w:szCs w:val="21"/>
              </w:rPr>
              <w:t>第6.1.5条</w:t>
            </w:r>
          </w:p>
        </w:tc>
        <w:tc>
          <w:tcPr>
            <w:tcW w:w="2268" w:type="dxa"/>
            <w:vAlign w:val="center"/>
          </w:tcPr>
          <w:p>
            <w:pPr>
              <w:spacing w:line="280" w:lineRule="exact"/>
              <w:rPr>
                <w:color w:val="000000" w:themeColor="text1"/>
                <w:szCs w:val="21"/>
              </w:rPr>
            </w:pPr>
            <w:r>
              <w:rPr>
                <w:color w:val="000000" w:themeColor="text1"/>
                <w:szCs w:val="21"/>
              </w:rPr>
              <w:t>该项目区甲醇储罐、装卸设施均为露天布置，各区通风良好。</w:t>
            </w:r>
          </w:p>
        </w:tc>
        <w:tc>
          <w:tcPr>
            <w:tcW w:w="748" w:type="dxa"/>
            <w:vAlign w:val="center"/>
          </w:tcPr>
          <w:p>
            <w:pPr>
              <w:spacing w:line="280" w:lineRule="exact"/>
              <w:jc w:val="center"/>
              <w:rPr>
                <w:color w:val="000000" w:themeColor="text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tabs>
                <w:tab w:val="left" w:pos="533"/>
              </w:tabs>
              <w:spacing w:line="280" w:lineRule="exact"/>
              <w:rPr>
                <w:rFonts w:eastAsiaTheme="minorEastAsia"/>
                <w:color w:val="000000" w:themeColor="text1"/>
                <w:szCs w:val="21"/>
              </w:rPr>
            </w:pPr>
            <w:r>
              <w:rPr>
                <w:rFonts w:eastAsiaTheme="minorEastAsia"/>
                <w:b/>
                <w:color w:val="000000" w:themeColor="text1"/>
                <w:szCs w:val="21"/>
              </w:rPr>
              <w:t>三</w:t>
            </w:r>
          </w:p>
        </w:tc>
        <w:tc>
          <w:tcPr>
            <w:tcW w:w="2977" w:type="dxa"/>
            <w:vAlign w:val="center"/>
          </w:tcPr>
          <w:p>
            <w:pPr>
              <w:spacing w:line="280" w:lineRule="exact"/>
              <w:rPr>
                <w:rFonts w:eastAsiaTheme="minorEastAsia"/>
                <w:color w:val="000000" w:themeColor="text1"/>
                <w:szCs w:val="21"/>
              </w:rPr>
            </w:pPr>
            <w:r>
              <w:rPr>
                <w:rFonts w:eastAsiaTheme="minorEastAsia"/>
                <w:b/>
                <w:color w:val="000000" w:themeColor="text1"/>
                <w:szCs w:val="21"/>
              </w:rPr>
              <w:t>防雷、防静电设施</w:t>
            </w:r>
          </w:p>
        </w:tc>
        <w:tc>
          <w:tcPr>
            <w:tcW w:w="2552" w:type="dxa"/>
            <w:vAlign w:val="center"/>
          </w:tcPr>
          <w:p>
            <w:pPr>
              <w:spacing w:line="280" w:lineRule="exact"/>
              <w:rPr>
                <w:rFonts w:eastAsiaTheme="minorEastAsia"/>
                <w:color w:val="000000" w:themeColor="text1"/>
                <w:szCs w:val="21"/>
              </w:rPr>
            </w:pPr>
          </w:p>
        </w:tc>
        <w:tc>
          <w:tcPr>
            <w:tcW w:w="2268" w:type="dxa"/>
            <w:vAlign w:val="center"/>
          </w:tcPr>
          <w:p>
            <w:pPr>
              <w:spacing w:line="280" w:lineRule="exact"/>
              <w:rPr>
                <w:rFonts w:eastAsiaTheme="minorEastAsia"/>
                <w:color w:val="000000" w:themeColor="text1"/>
                <w:szCs w:val="21"/>
              </w:rPr>
            </w:pPr>
          </w:p>
        </w:tc>
        <w:tc>
          <w:tcPr>
            <w:tcW w:w="748" w:type="dxa"/>
            <w:vAlign w:val="center"/>
          </w:tcPr>
          <w:p>
            <w:pPr>
              <w:spacing w:line="280" w:lineRule="exact"/>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szCs w:val="21"/>
              </w:rPr>
            </w:pPr>
            <w:r>
              <w:rPr>
                <w:rFonts w:eastAsiaTheme="minorEastAsia"/>
                <w:color w:val="000000" w:themeColor="text1"/>
                <w:szCs w:val="21"/>
              </w:rPr>
              <w:t>在使用过程中有可能遭受雷击的生产设备，必须采取适当的防护措施，以使雷击时产生的电荷被安全、迅速导入大地。</w:t>
            </w:r>
          </w:p>
        </w:tc>
        <w:tc>
          <w:tcPr>
            <w:tcW w:w="2552"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《生产设备安全卫生设计总则》（</w:t>
            </w:r>
            <w:r>
              <w:rPr>
                <w:rFonts w:hint="eastAsia" w:eastAsiaTheme="minorEastAsia"/>
                <w:color w:val="000000" w:themeColor="text1"/>
                <w:szCs w:val="21"/>
                <w:lang w:eastAsia="zh-CN"/>
              </w:rPr>
              <w:t>GB5083-2023</w:t>
            </w:r>
            <w:r>
              <w:rPr>
                <w:rFonts w:eastAsiaTheme="minorEastAsia"/>
                <w:color w:val="000000" w:themeColor="text1"/>
                <w:szCs w:val="21"/>
              </w:rPr>
              <w:t>）</w:t>
            </w:r>
          </w:p>
          <w:p>
            <w:pPr>
              <w:spacing w:line="280" w:lineRule="exact"/>
              <w:jc w:val="center"/>
              <w:rPr>
                <w:rFonts w:eastAsiaTheme="minorEastAsia"/>
                <w:color w:val="000000" w:themeColor="text1"/>
                <w:szCs w:val="21"/>
              </w:rPr>
            </w:pPr>
            <w:r>
              <w:rPr>
                <w:rFonts w:eastAsiaTheme="minorEastAsia"/>
                <w:color w:val="000000" w:themeColor="text1"/>
                <w:szCs w:val="21"/>
              </w:rPr>
              <w:t>第6.10条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甲醇罐区等建（构）筑物已设置防雷装置，</w:t>
            </w:r>
            <w:r>
              <w:rPr>
                <w:rFonts w:hint="eastAsia" w:eastAsiaTheme="minorEastAsia"/>
                <w:color w:val="000000" w:themeColor="text1"/>
                <w:szCs w:val="21"/>
                <w:lang w:val="en-US" w:eastAsia="zh-CN"/>
              </w:rPr>
              <w:t>2025年</w:t>
            </w:r>
            <w:r>
              <w:rPr>
                <w:rFonts w:hint="eastAsia"/>
                <w:color w:val="000000" w:themeColor="text1"/>
                <w:szCs w:val="21"/>
              </w:rPr>
              <w:t>经云南省气象灾害防御技术中心</w:t>
            </w:r>
            <w:r>
              <w:rPr>
                <w:rFonts w:eastAsiaTheme="minorEastAsia"/>
                <w:color w:val="000000" w:themeColor="text1"/>
                <w:szCs w:val="21"/>
              </w:rPr>
              <w:t>进行了检测，并出具了检测报告，详见报告附件。</w:t>
            </w:r>
          </w:p>
        </w:tc>
        <w:tc>
          <w:tcPr>
            <w:tcW w:w="748"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szCs w:val="21"/>
              </w:rPr>
            </w:pPr>
            <w:r>
              <w:rPr>
                <w:rFonts w:eastAsiaTheme="minorEastAsia"/>
                <w:color w:val="000000" w:themeColor="text1"/>
                <w:szCs w:val="21"/>
              </w:rPr>
              <w:t>易燃液体泵房（棚）的防雷应按第二类防雷建筑物设防。</w:t>
            </w:r>
          </w:p>
        </w:tc>
        <w:tc>
          <w:tcPr>
            <w:tcW w:w="2552"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《汽车加油加气加氢站技术标准》（GB50156-2021）第14.2.9条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根据该项目区《防雷装置安全检测报告书》，其防雷类别为二类。</w:t>
            </w:r>
          </w:p>
        </w:tc>
        <w:tc>
          <w:tcPr>
            <w:tcW w:w="748" w:type="dxa"/>
          </w:tcPr>
          <w:p>
            <w:pPr>
              <w:spacing w:line="280" w:lineRule="exact"/>
              <w:jc w:val="center"/>
              <w:rPr>
                <w:rFonts w:eastAsiaTheme="minorEastAsia"/>
                <w:color w:val="000000" w:themeColor="text1"/>
                <w:szCs w:val="21"/>
              </w:rPr>
            </w:pPr>
          </w:p>
          <w:p>
            <w:pPr>
              <w:spacing w:line="280" w:lineRule="exact"/>
              <w:jc w:val="center"/>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szCs w:val="21"/>
              </w:rPr>
            </w:pPr>
            <w:r>
              <w:rPr>
                <w:rFonts w:eastAsiaTheme="minorEastAsia"/>
                <w:color w:val="000000" w:themeColor="text1"/>
                <w:szCs w:val="21"/>
              </w:rPr>
              <w:t>储存甲、乙、丙A类液体的钢储罐，应采取防静电措施。</w:t>
            </w:r>
          </w:p>
        </w:tc>
        <w:tc>
          <w:tcPr>
            <w:tcW w:w="2552" w:type="dxa"/>
            <w:vAlign w:val="center"/>
          </w:tcPr>
          <w:p>
            <w:pPr>
              <w:tabs>
                <w:tab w:val="left" w:pos="2898"/>
              </w:tabs>
              <w:spacing w:line="280" w:lineRule="exact"/>
              <w:jc w:val="center"/>
              <w:rPr>
                <w:rFonts w:eastAsiaTheme="minorEastAsia"/>
                <w:color w:val="000000" w:themeColor="text1"/>
                <w:szCs w:val="21"/>
              </w:rPr>
            </w:pPr>
            <w:r>
              <w:rPr>
                <w:rFonts w:eastAsiaTheme="minorEastAsia"/>
                <w:color w:val="000000" w:themeColor="text1"/>
                <w:szCs w:val="21"/>
              </w:rPr>
              <w:t>《汽车加油加气加氢站技术标准》（GB50156-2021）第14.3.1条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甲醇罐已采取了防静电措施。</w:t>
            </w:r>
          </w:p>
        </w:tc>
        <w:tc>
          <w:tcPr>
            <w:tcW w:w="748"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szCs w:val="21"/>
              </w:rPr>
            </w:pPr>
            <w:r>
              <w:rPr>
                <w:rFonts w:eastAsiaTheme="minorEastAsia"/>
                <w:color w:val="000000" w:themeColor="text1"/>
                <w:szCs w:val="21"/>
              </w:rPr>
              <w:t>甲、乙和丙A类液体的汽车罐车或灌桶设施，应设置与罐车或桶跨接的防静电接地装置。</w:t>
            </w:r>
          </w:p>
        </w:tc>
        <w:tc>
          <w:tcPr>
            <w:tcW w:w="2552"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《汽车加油加气加氢站技术标准》（GB50156-2021）第14.3.8条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汽车装车区静电夹安装在</w:t>
            </w:r>
            <w:r>
              <w:rPr>
                <w:rFonts w:hint="eastAsia" w:eastAsiaTheme="minorEastAsia"/>
                <w:color w:val="000000" w:themeColor="text1"/>
                <w:szCs w:val="21"/>
              </w:rPr>
              <w:t>卸车口一侧</w:t>
            </w:r>
            <w:r>
              <w:rPr>
                <w:rFonts w:eastAsiaTheme="minorEastAsia"/>
                <w:color w:val="000000" w:themeColor="text1"/>
                <w:szCs w:val="21"/>
              </w:rPr>
              <w:t>。</w:t>
            </w:r>
          </w:p>
        </w:tc>
        <w:tc>
          <w:tcPr>
            <w:tcW w:w="748"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tcPr>
          <w:p>
            <w:pPr>
              <w:spacing w:line="280" w:lineRule="exact"/>
              <w:rPr>
                <w:rFonts w:eastAsiaTheme="minorEastAsia"/>
                <w:color w:val="000000" w:themeColor="text1"/>
                <w:szCs w:val="21"/>
              </w:rPr>
            </w:pPr>
            <w:r>
              <w:rPr>
                <w:rFonts w:eastAsiaTheme="minorEastAsia"/>
                <w:color w:val="000000" w:themeColor="text1"/>
                <w:szCs w:val="21"/>
              </w:rPr>
              <w:t>下列甲、乙、丙A类液体作业场所，应设消除人体静电装置：（1）泵房的门外；（2）储罐的上罐扶梯入口处；（3）装卸作业区内操作平台的扶梯入口处；（4）码头上下船的出入口处。</w:t>
            </w:r>
          </w:p>
        </w:tc>
        <w:tc>
          <w:tcPr>
            <w:tcW w:w="2552"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《汽车加油加气加氢站技术标准》（GB50156-2021）第14.3.14条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评价现场检查时，装卸区域</w:t>
            </w:r>
            <w:r>
              <w:rPr>
                <w:rFonts w:hint="eastAsia" w:eastAsiaTheme="minorEastAsia"/>
                <w:color w:val="000000" w:themeColor="text1"/>
                <w:szCs w:val="21"/>
              </w:rPr>
              <w:t>未</w:t>
            </w:r>
            <w:r>
              <w:rPr>
                <w:rFonts w:eastAsiaTheme="minorEastAsia"/>
                <w:color w:val="000000" w:themeColor="text1"/>
                <w:szCs w:val="21"/>
              </w:rPr>
              <w:t>安装有</w:t>
            </w:r>
            <w:r>
              <w:rPr>
                <w:rFonts w:eastAsiaTheme="minorEastAsia"/>
                <w:color w:val="000000" w:themeColor="text1"/>
              </w:rPr>
              <w:t>消除人体静电装置</w:t>
            </w:r>
            <w:r>
              <w:rPr>
                <w:rFonts w:eastAsiaTheme="minorEastAsia"/>
                <w:color w:val="000000" w:themeColor="text1"/>
                <w:szCs w:val="21"/>
              </w:rPr>
              <w:t>。</w:t>
            </w:r>
          </w:p>
        </w:tc>
        <w:tc>
          <w:tcPr>
            <w:tcW w:w="748" w:type="dxa"/>
            <w:vAlign w:val="center"/>
          </w:tcPr>
          <w:p>
            <w:pPr>
              <w:spacing w:line="280" w:lineRule="exact"/>
              <w:jc w:val="center"/>
              <w:rPr>
                <w:rFonts w:eastAsiaTheme="minorEastAsia"/>
                <w:color w:val="000000" w:themeColor="text1"/>
                <w:szCs w:val="21"/>
              </w:rPr>
            </w:pPr>
            <w:r>
              <w:rPr>
                <w:rFonts w:hint="eastAsia" w:eastAsiaTheme="minorEastAsia"/>
                <w:color w:val="000000" w:themeColor="text1"/>
                <w:szCs w:val="21"/>
              </w:rPr>
              <w:t>不</w:t>
            </w: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szCs w:val="21"/>
              </w:rPr>
            </w:pPr>
            <w:r>
              <w:rPr>
                <w:rFonts w:eastAsiaTheme="minorEastAsia"/>
                <w:color w:val="000000" w:themeColor="text1"/>
                <w:szCs w:val="21"/>
              </w:rPr>
              <w:t>可能产生静电危害的工作场所，应配置个人防静电防护用品。重点防火、防爆作业区的入口处，应设计人体导除静电装置。</w:t>
            </w:r>
          </w:p>
        </w:tc>
        <w:tc>
          <w:tcPr>
            <w:tcW w:w="2552" w:type="dxa"/>
            <w:vAlign w:val="center"/>
          </w:tcPr>
          <w:p>
            <w:pPr>
              <w:spacing w:line="280" w:lineRule="exact"/>
              <w:rPr>
                <w:rFonts w:eastAsiaTheme="minorEastAsia"/>
                <w:color w:val="000000" w:themeColor="text1"/>
              </w:rPr>
            </w:pPr>
            <w:r>
              <w:rPr>
                <w:rFonts w:eastAsiaTheme="minorEastAsia"/>
                <w:color w:val="000000" w:themeColor="text1"/>
              </w:rPr>
              <w:t>《化工企业安全卫生设计规范》（HG20571-2014）</w:t>
            </w:r>
          </w:p>
          <w:p>
            <w:pPr>
              <w:spacing w:line="280" w:lineRule="exact"/>
              <w:jc w:val="center"/>
              <w:rPr>
                <w:rFonts w:eastAsiaTheme="minorEastAsia"/>
                <w:color w:val="000000" w:themeColor="text1"/>
                <w:szCs w:val="21"/>
              </w:rPr>
            </w:pPr>
            <w:r>
              <w:rPr>
                <w:rFonts w:eastAsiaTheme="minorEastAsia"/>
                <w:color w:val="000000" w:themeColor="text1"/>
              </w:rPr>
              <w:t>第4.2.10条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评价现场检查时，</w:t>
            </w:r>
            <w:r>
              <w:rPr>
                <w:rFonts w:hint="eastAsia" w:eastAsiaTheme="minorEastAsia"/>
                <w:color w:val="000000" w:themeColor="text1"/>
                <w:szCs w:val="21"/>
              </w:rPr>
              <w:t>现场检查工作人员未穿戴防静电工作服进行作业</w:t>
            </w:r>
            <w:r>
              <w:rPr>
                <w:rFonts w:eastAsiaTheme="minorEastAsia"/>
                <w:color w:val="000000" w:themeColor="text1"/>
                <w:szCs w:val="21"/>
              </w:rPr>
              <w:t>。</w:t>
            </w:r>
          </w:p>
        </w:tc>
        <w:tc>
          <w:tcPr>
            <w:tcW w:w="748" w:type="dxa"/>
            <w:vAlign w:val="center"/>
          </w:tcPr>
          <w:p>
            <w:pPr>
              <w:spacing w:line="280" w:lineRule="exact"/>
              <w:jc w:val="center"/>
              <w:rPr>
                <w:rFonts w:eastAsiaTheme="minorEastAsia"/>
                <w:color w:val="000000" w:themeColor="text1"/>
                <w:szCs w:val="21"/>
              </w:rPr>
            </w:pPr>
            <w:r>
              <w:rPr>
                <w:rFonts w:hint="eastAsia" w:eastAsiaTheme="minorEastAsia"/>
                <w:color w:val="000000" w:themeColor="text1"/>
                <w:szCs w:val="21"/>
              </w:rPr>
              <w:t>不</w:t>
            </w: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tabs>
                <w:tab w:val="left" w:pos="533"/>
              </w:tabs>
              <w:spacing w:line="280" w:lineRule="exact"/>
              <w:ind w:left="113"/>
              <w:jc w:val="center"/>
              <w:rPr>
                <w:rFonts w:eastAsiaTheme="minorEastAsia"/>
                <w:b/>
                <w:color w:val="000000" w:themeColor="text1"/>
                <w:szCs w:val="21"/>
              </w:rPr>
            </w:pPr>
            <w:r>
              <w:rPr>
                <w:rFonts w:eastAsiaTheme="minorEastAsia"/>
                <w:b/>
                <w:color w:val="000000" w:themeColor="text1"/>
                <w:szCs w:val="21"/>
              </w:rPr>
              <w:t>四</w:t>
            </w:r>
          </w:p>
        </w:tc>
        <w:tc>
          <w:tcPr>
            <w:tcW w:w="2977" w:type="dxa"/>
            <w:vAlign w:val="center"/>
          </w:tcPr>
          <w:p>
            <w:pPr>
              <w:spacing w:line="280" w:lineRule="exact"/>
              <w:rPr>
                <w:rFonts w:eastAsiaTheme="minorEastAsia"/>
                <w:color w:val="000000" w:themeColor="text1"/>
                <w:szCs w:val="21"/>
              </w:rPr>
            </w:pPr>
            <w:r>
              <w:rPr>
                <w:rFonts w:eastAsiaTheme="minorEastAsia"/>
                <w:b/>
                <w:bCs/>
                <w:color w:val="000000" w:themeColor="text1"/>
                <w:szCs w:val="21"/>
              </w:rPr>
              <w:t>防机械伤害设施</w:t>
            </w:r>
          </w:p>
        </w:tc>
        <w:tc>
          <w:tcPr>
            <w:tcW w:w="2552" w:type="dxa"/>
            <w:vAlign w:val="center"/>
          </w:tcPr>
          <w:p>
            <w:pPr>
              <w:spacing w:line="280" w:lineRule="exact"/>
              <w:rPr>
                <w:rFonts w:eastAsiaTheme="minorEastAsia"/>
                <w:color w:val="000000" w:themeColor="text1"/>
              </w:rPr>
            </w:pPr>
          </w:p>
        </w:tc>
        <w:tc>
          <w:tcPr>
            <w:tcW w:w="2268" w:type="dxa"/>
            <w:vAlign w:val="center"/>
          </w:tcPr>
          <w:p>
            <w:pPr>
              <w:spacing w:line="280" w:lineRule="exact"/>
              <w:rPr>
                <w:rFonts w:eastAsiaTheme="minorEastAsia"/>
                <w:color w:val="000000" w:themeColor="text1"/>
                <w:szCs w:val="21"/>
              </w:rPr>
            </w:pPr>
          </w:p>
        </w:tc>
        <w:tc>
          <w:tcPr>
            <w:tcW w:w="748" w:type="dxa"/>
            <w:vAlign w:val="center"/>
          </w:tcPr>
          <w:p>
            <w:pPr>
              <w:spacing w:line="280" w:lineRule="exact"/>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szCs w:val="21"/>
              </w:rPr>
            </w:pPr>
            <w:r>
              <w:rPr>
                <w:rFonts w:eastAsiaTheme="minorEastAsia"/>
                <w:color w:val="000000" w:themeColor="text1"/>
                <w:kern w:val="0"/>
                <w:szCs w:val="21"/>
              </w:rPr>
              <w:t>运动的传动部件：对于带轮、传动带、齿条齿轮和传动轴等传动部件产生的危险，应采用固定式防护装置或联锁的活动式防护装置进行防护</w:t>
            </w:r>
            <w:r>
              <w:rPr>
                <w:rFonts w:eastAsiaTheme="minorEastAsia"/>
                <w:color w:val="000000" w:themeColor="text1"/>
                <w:szCs w:val="21"/>
              </w:rPr>
              <w:t>。</w:t>
            </w:r>
          </w:p>
        </w:tc>
        <w:tc>
          <w:tcPr>
            <w:tcW w:w="2552" w:type="dxa"/>
            <w:vAlign w:val="center"/>
          </w:tcPr>
          <w:p>
            <w:pPr>
              <w:tabs>
                <w:tab w:val="left" w:pos="2898"/>
              </w:tabs>
              <w:spacing w:line="280" w:lineRule="exact"/>
              <w:jc w:val="center"/>
              <w:rPr>
                <w:rFonts w:eastAsiaTheme="minorEastAsia"/>
                <w:color w:val="000000" w:themeColor="text1"/>
              </w:rPr>
            </w:pPr>
            <w:r>
              <w:rPr>
                <w:rFonts w:eastAsiaTheme="minorEastAsia"/>
                <w:color w:val="000000" w:themeColor="text1"/>
                <w:szCs w:val="21"/>
              </w:rPr>
              <w:t>《机械安全防护装置 固定式和活动式防护装置的设计与制造一般要求》（GB/T 8196-2018）第6.4.2条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评价组现场检查时，现场未见运动传动部件。</w:t>
            </w:r>
          </w:p>
        </w:tc>
        <w:tc>
          <w:tcPr>
            <w:tcW w:w="748"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tabs>
                <w:tab w:val="left" w:pos="533"/>
              </w:tabs>
              <w:spacing w:line="280" w:lineRule="exact"/>
              <w:rPr>
                <w:rFonts w:eastAsiaTheme="minorEastAsia"/>
                <w:b/>
                <w:color w:val="000000" w:themeColor="text1"/>
                <w:szCs w:val="21"/>
              </w:rPr>
            </w:pPr>
            <w:r>
              <w:rPr>
                <w:rFonts w:eastAsiaTheme="minorEastAsia"/>
                <w:b/>
                <w:color w:val="000000" w:themeColor="text1"/>
                <w:szCs w:val="21"/>
              </w:rPr>
              <w:t>五</w:t>
            </w:r>
          </w:p>
        </w:tc>
        <w:tc>
          <w:tcPr>
            <w:tcW w:w="2977" w:type="dxa"/>
            <w:vAlign w:val="center"/>
          </w:tcPr>
          <w:p>
            <w:pPr>
              <w:spacing w:line="280" w:lineRule="exact"/>
              <w:rPr>
                <w:rFonts w:eastAsiaTheme="minorEastAsia"/>
                <w:color w:val="000000" w:themeColor="text1"/>
                <w:kern w:val="0"/>
                <w:szCs w:val="21"/>
              </w:rPr>
            </w:pPr>
            <w:r>
              <w:rPr>
                <w:rFonts w:eastAsiaTheme="minorEastAsia"/>
                <w:b/>
                <w:color w:val="000000" w:themeColor="text1"/>
                <w:szCs w:val="21"/>
              </w:rPr>
              <w:t>防触电设施</w:t>
            </w:r>
          </w:p>
        </w:tc>
        <w:tc>
          <w:tcPr>
            <w:tcW w:w="2552" w:type="dxa"/>
            <w:vAlign w:val="center"/>
          </w:tcPr>
          <w:p>
            <w:pPr>
              <w:tabs>
                <w:tab w:val="left" w:pos="2898"/>
              </w:tabs>
              <w:spacing w:line="280" w:lineRule="exact"/>
              <w:jc w:val="center"/>
              <w:rPr>
                <w:rFonts w:eastAsiaTheme="minorEastAsia"/>
                <w:color w:val="000000" w:themeColor="text1"/>
                <w:szCs w:val="21"/>
              </w:rPr>
            </w:pPr>
          </w:p>
        </w:tc>
        <w:tc>
          <w:tcPr>
            <w:tcW w:w="2268" w:type="dxa"/>
            <w:vAlign w:val="center"/>
          </w:tcPr>
          <w:p>
            <w:pPr>
              <w:spacing w:line="280" w:lineRule="exact"/>
              <w:rPr>
                <w:rFonts w:eastAsiaTheme="minorEastAsia"/>
                <w:color w:val="000000" w:themeColor="text1"/>
                <w:szCs w:val="21"/>
              </w:rPr>
            </w:pPr>
          </w:p>
        </w:tc>
        <w:tc>
          <w:tcPr>
            <w:tcW w:w="748" w:type="dxa"/>
            <w:vAlign w:val="center"/>
          </w:tcPr>
          <w:p>
            <w:pPr>
              <w:spacing w:line="280" w:lineRule="exact"/>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kern w:val="0"/>
                <w:szCs w:val="21"/>
              </w:rPr>
            </w:pPr>
            <w:r>
              <w:rPr>
                <w:rFonts w:eastAsiaTheme="minorEastAsia"/>
                <w:color w:val="000000" w:themeColor="text1"/>
                <w:szCs w:val="21"/>
              </w:rPr>
              <w:t>正常不带电而事故时可能带电的配电装置及电气设备外露可导电部分，均应按《交流电气装置接地设计规范》（GB/T50065）要求设计可靠接地装置。</w:t>
            </w:r>
          </w:p>
        </w:tc>
        <w:tc>
          <w:tcPr>
            <w:tcW w:w="2552"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《化工企业安全卫生设计规范》（HG20571-2014）</w:t>
            </w:r>
          </w:p>
          <w:p>
            <w:pPr>
              <w:spacing w:line="280" w:lineRule="exact"/>
              <w:jc w:val="center"/>
              <w:rPr>
                <w:rFonts w:eastAsiaTheme="minorEastAsia"/>
                <w:color w:val="000000" w:themeColor="text1"/>
                <w:szCs w:val="21"/>
              </w:rPr>
            </w:pPr>
            <w:r>
              <w:rPr>
                <w:rFonts w:eastAsiaTheme="minorEastAsia"/>
                <w:color w:val="000000" w:themeColor="text1"/>
                <w:szCs w:val="21"/>
              </w:rPr>
              <w:t>第4.4.1条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项目区主要配电装置及电气设备外露可导电部分采取了接地装置。</w:t>
            </w:r>
          </w:p>
        </w:tc>
        <w:tc>
          <w:tcPr>
            <w:tcW w:w="748" w:type="dxa"/>
            <w:vAlign w:val="center"/>
          </w:tcPr>
          <w:p>
            <w:pPr>
              <w:spacing w:line="280" w:lineRule="exact"/>
              <w:jc w:val="center"/>
              <w:rPr>
                <w:rFonts w:eastAsiaTheme="minorEastAsia"/>
                <w:color w:val="000000" w:themeColor="text1"/>
                <w:szCs w:val="21"/>
              </w:rPr>
            </w:pPr>
            <w:r>
              <w:rPr>
                <w:rFonts w:eastAsiaTheme="minorEastAsia"/>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tabs>
                <w:tab w:val="left" w:pos="533"/>
              </w:tabs>
              <w:spacing w:line="280" w:lineRule="exact"/>
              <w:rPr>
                <w:rFonts w:eastAsiaTheme="minorEastAsia"/>
                <w:b/>
                <w:color w:val="000000" w:themeColor="text1"/>
                <w:szCs w:val="21"/>
              </w:rPr>
            </w:pPr>
            <w:r>
              <w:rPr>
                <w:rFonts w:eastAsiaTheme="minorEastAsia"/>
                <w:b/>
                <w:color w:val="000000" w:themeColor="text1"/>
                <w:szCs w:val="21"/>
              </w:rPr>
              <w:t>六</w:t>
            </w:r>
          </w:p>
        </w:tc>
        <w:tc>
          <w:tcPr>
            <w:tcW w:w="2977" w:type="dxa"/>
            <w:vAlign w:val="center"/>
          </w:tcPr>
          <w:p>
            <w:pPr>
              <w:spacing w:line="280" w:lineRule="exact"/>
              <w:rPr>
                <w:rFonts w:eastAsiaTheme="minorEastAsia"/>
                <w:color w:val="000000" w:themeColor="text1"/>
                <w:szCs w:val="21"/>
              </w:rPr>
            </w:pPr>
            <w:r>
              <w:rPr>
                <w:rFonts w:eastAsiaTheme="minorEastAsia"/>
                <w:b/>
                <w:bCs/>
                <w:color w:val="000000" w:themeColor="text1"/>
                <w:kern w:val="0"/>
                <w:szCs w:val="21"/>
              </w:rPr>
              <w:t>安全色与安全标识</w:t>
            </w:r>
          </w:p>
        </w:tc>
        <w:tc>
          <w:tcPr>
            <w:tcW w:w="2552" w:type="dxa"/>
            <w:vAlign w:val="center"/>
          </w:tcPr>
          <w:p>
            <w:pPr>
              <w:spacing w:line="280" w:lineRule="exact"/>
              <w:jc w:val="center"/>
              <w:rPr>
                <w:rFonts w:eastAsiaTheme="minorEastAsia"/>
                <w:color w:val="000000" w:themeColor="text1"/>
                <w:szCs w:val="21"/>
              </w:rPr>
            </w:pPr>
          </w:p>
        </w:tc>
        <w:tc>
          <w:tcPr>
            <w:tcW w:w="2268" w:type="dxa"/>
            <w:vAlign w:val="center"/>
          </w:tcPr>
          <w:p>
            <w:pPr>
              <w:spacing w:line="280" w:lineRule="exact"/>
              <w:rPr>
                <w:rFonts w:eastAsiaTheme="minorEastAsia"/>
                <w:color w:val="000000" w:themeColor="text1"/>
                <w:szCs w:val="21"/>
              </w:rPr>
            </w:pPr>
          </w:p>
        </w:tc>
        <w:tc>
          <w:tcPr>
            <w:tcW w:w="748" w:type="dxa"/>
            <w:vAlign w:val="center"/>
          </w:tcPr>
          <w:p>
            <w:pPr>
              <w:spacing w:line="280" w:lineRule="exact"/>
              <w:jc w:val="center"/>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szCs w:val="21"/>
              </w:rPr>
            </w:pPr>
            <w:r>
              <w:rPr>
                <w:rFonts w:eastAsiaTheme="minorEastAsia"/>
                <w:color w:val="000000" w:themeColor="text1"/>
                <w:kern w:val="0"/>
                <w:szCs w:val="21"/>
              </w:rPr>
              <w:t>化学品作业场所安全警示标志应设在与安全有关的醒目处，并使进入作业场所的人员看见后，有足够的时间来注意它所表示的内容。</w:t>
            </w:r>
          </w:p>
        </w:tc>
        <w:tc>
          <w:tcPr>
            <w:tcW w:w="2552" w:type="dxa"/>
            <w:vAlign w:val="center"/>
          </w:tcPr>
          <w:p>
            <w:pPr>
              <w:tabs>
                <w:tab w:val="left" w:pos="2898"/>
              </w:tabs>
              <w:spacing w:line="280" w:lineRule="exact"/>
              <w:jc w:val="center"/>
              <w:rPr>
                <w:rFonts w:eastAsiaTheme="minorEastAsia"/>
                <w:color w:val="000000" w:themeColor="text1"/>
                <w:kern w:val="0"/>
                <w:szCs w:val="21"/>
              </w:rPr>
            </w:pPr>
            <w:r>
              <w:rPr>
                <w:rFonts w:eastAsiaTheme="minorEastAsia"/>
                <w:color w:val="000000" w:themeColor="text1"/>
                <w:kern w:val="0"/>
                <w:szCs w:val="21"/>
              </w:rPr>
              <w:t>《化学品作业场所安全警示标志规范》</w:t>
            </w:r>
          </w:p>
          <w:p>
            <w:pPr>
              <w:tabs>
                <w:tab w:val="left" w:pos="2898"/>
              </w:tabs>
              <w:spacing w:line="280" w:lineRule="exact"/>
              <w:jc w:val="center"/>
              <w:rPr>
                <w:rFonts w:eastAsiaTheme="minorEastAsia"/>
                <w:color w:val="000000" w:themeColor="text1"/>
                <w:kern w:val="0"/>
                <w:szCs w:val="21"/>
              </w:rPr>
            </w:pPr>
            <w:r>
              <w:rPr>
                <w:rFonts w:eastAsiaTheme="minorEastAsia"/>
                <w:color w:val="000000" w:themeColor="text1"/>
                <w:kern w:val="0"/>
                <w:szCs w:val="21"/>
              </w:rPr>
              <w:t>（AQ 3047-2013）</w:t>
            </w:r>
          </w:p>
          <w:p>
            <w:pPr>
              <w:spacing w:line="280" w:lineRule="exact"/>
              <w:jc w:val="center"/>
              <w:rPr>
                <w:rFonts w:eastAsiaTheme="minorEastAsia"/>
                <w:color w:val="000000" w:themeColor="text1"/>
                <w:szCs w:val="21"/>
              </w:rPr>
            </w:pPr>
            <w:r>
              <w:rPr>
                <w:rFonts w:eastAsiaTheme="minorEastAsia"/>
                <w:color w:val="000000" w:themeColor="text1"/>
                <w:kern w:val="0"/>
                <w:szCs w:val="21"/>
              </w:rPr>
              <w:t>第5.4.1条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出入口无“禁止吸烟、禁打手机”等安全警示标识。</w:t>
            </w:r>
          </w:p>
        </w:tc>
        <w:tc>
          <w:tcPr>
            <w:tcW w:w="748" w:type="dxa"/>
            <w:vAlign w:val="center"/>
          </w:tcPr>
          <w:p>
            <w:pPr>
              <w:spacing w:line="280" w:lineRule="exact"/>
              <w:jc w:val="center"/>
              <w:rPr>
                <w:rFonts w:eastAsiaTheme="minorEastAsia"/>
                <w:color w:val="000000" w:themeColor="text1"/>
                <w:szCs w:val="21"/>
              </w:rPr>
            </w:pPr>
            <w:r>
              <w:rPr>
                <w:rFonts w:eastAsiaTheme="minorEastAsia"/>
                <w:color w:val="000000" w:themeColor="text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szCs w:val="21"/>
              </w:rPr>
            </w:pPr>
            <w:r>
              <w:rPr>
                <w:rFonts w:eastAsiaTheme="minorEastAsia"/>
                <w:color w:val="000000" w:themeColor="text1"/>
                <w:kern w:val="0"/>
                <w:szCs w:val="21"/>
              </w:rPr>
              <w:t>化学品作业场所安全警示标志不应设在门、窗、架等可移动的物体上。标志前不得放置妨碍认读的障碍物。</w:t>
            </w:r>
          </w:p>
        </w:tc>
        <w:tc>
          <w:tcPr>
            <w:tcW w:w="2552" w:type="dxa"/>
            <w:vAlign w:val="center"/>
          </w:tcPr>
          <w:p>
            <w:pPr>
              <w:tabs>
                <w:tab w:val="left" w:pos="2898"/>
              </w:tabs>
              <w:spacing w:line="280" w:lineRule="exact"/>
              <w:jc w:val="center"/>
              <w:rPr>
                <w:rFonts w:eastAsiaTheme="minorEastAsia"/>
                <w:color w:val="000000" w:themeColor="text1"/>
                <w:szCs w:val="21"/>
              </w:rPr>
            </w:pPr>
            <w:r>
              <w:rPr>
                <w:rFonts w:eastAsiaTheme="minorEastAsia"/>
                <w:color w:val="000000" w:themeColor="text1"/>
                <w:kern w:val="0"/>
                <w:szCs w:val="21"/>
              </w:rPr>
              <w:t>《化学品作业场所安全警示标志规范》（AQ 3047-2013）第5.4.2条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各区已设安全警示标志未设在门、窗、架等可移动的物体上，标志前未放置妨碍认读的障碍物。</w:t>
            </w:r>
          </w:p>
        </w:tc>
        <w:tc>
          <w:tcPr>
            <w:tcW w:w="748" w:type="dxa"/>
            <w:vAlign w:val="center"/>
          </w:tcPr>
          <w:p>
            <w:pPr>
              <w:spacing w:line="280" w:lineRule="exact"/>
              <w:jc w:val="center"/>
              <w:rPr>
                <w:rFonts w:eastAsiaTheme="minorEastAsia"/>
                <w:color w:val="000000" w:themeColor="text1"/>
                <w:szCs w:val="21"/>
              </w:rPr>
            </w:pPr>
            <w:r>
              <w:rPr>
                <w:rFonts w:eastAsiaTheme="minor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dxa"/>
            <w:vAlign w:val="center"/>
          </w:tcPr>
          <w:p>
            <w:pPr>
              <w:numPr>
                <w:ilvl w:val="0"/>
                <w:numId w:val="22"/>
              </w:numPr>
              <w:spacing w:line="280" w:lineRule="exact"/>
              <w:jc w:val="center"/>
              <w:rPr>
                <w:rFonts w:eastAsiaTheme="minorEastAsia"/>
                <w:color w:val="000000" w:themeColor="text1"/>
                <w:szCs w:val="21"/>
              </w:rPr>
            </w:pPr>
          </w:p>
        </w:tc>
        <w:tc>
          <w:tcPr>
            <w:tcW w:w="2977" w:type="dxa"/>
            <w:vAlign w:val="center"/>
          </w:tcPr>
          <w:p>
            <w:pPr>
              <w:spacing w:line="280" w:lineRule="exact"/>
              <w:rPr>
                <w:rFonts w:eastAsiaTheme="minorEastAsia"/>
                <w:color w:val="000000" w:themeColor="text1"/>
                <w:kern w:val="0"/>
                <w:szCs w:val="21"/>
              </w:rPr>
            </w:pPr>
            <w:r>
              <w:rPr>
                <w:rFonts w:eastAsiaTheme="minorEastAsia"/>
                <w:color w:val="000000" w:themeColor="text1"/>
                <w:kern w:val="0"/>
                <w:szCs w:val="21"/>
              </w:rPr>
              <w:t>工业管道内物质的流向用箭头表示，如果管道内物质的流向是双向的，则以双向箭头表示。</w:t>
            </w:r>
          </w:p>
        </w:tc>
        <w:tc>
          <w:tcPr>
            <w:tcW w:w="2552" w:type="dxa"/>
            <w:vAlign w:val="center"/>
          </w:tcPr>
          <w:p>
            <w:pPr>
              <w:tabs>
                <w:tab w:val="left" w:pos="2898"/>
              </w:tabs>
              <w:spacing w:line="280" w:lineRule="exact"/>
              <w:jc w:val="center"/>
              <w:rPr>
                <w:rFonts w:eastAsiaTheme="minorEastAsia"/>
                <w:color w:val="000000" w:themeColor="text1"/>
                <w:kern w:val="0"/>
                <w:szCs w:val="21"/>
              </w:rPr>
            </w:pPr>
            <w:r>
              <w:rPr>
                <w:rFonts w:eastAsiaTheme="minorEastAsia"/>
                <w:color w:val="000000" w:themeColor="text1"/>
                <w:kern w:val="0"/>
                <w:szCs w:val="21"/>
              </w:rPr>
              <w:t>《工业管道的基本识别色、识别符合和安全标识》（GB231-2003）第5.2a条</w:t>
            </w:r>
          </w:p>
        </w:tc>
        <w:tc>
          <w:tcPr>
            <w:tcW w:w="2268" w:type="dxa"/>
            <w:vAlign w:val="center"/>
          </w:tcPr>
          <w:p>
            <w:pPr>
              <w:spacing w:line="280" w:lineRule="exact"/>
              <w:rPr>
                <w:rFonts w:eastAsiaTheme="minorEastAsia"/>
                <w:color w:val="000000" w:themeColor="text1"/>
                <w:szCs w:val="21"/>
              </w:rPr>
            </w:pPr>
            <w:r>
              <w:rPr>
                <w:rFonts w:eastAsiaTheme="minorEastAsia"/>
                <w:color w:val="000000" w:themeColor="text1"/>
                <w:szCs w:val="21"/>
              </w:rPr>
              <w:t>现场检查时，埋地甲醇罐操作井盖无介质流向标识。</w:t>
            </w:r>
          </w:p>
        </w:tc>
        <w:tc>
          <w:tcPr>
            <w:tcW w:w="748" w:type="dxa"/>
            <w:vAlign w:val="center"/>
          </w:tcPr>
          <w:p>
            <w:pPr>
              <w:spacing w:line="280" w:lineRule="exact"/>
              <w:jc w:val="center"/>
              <w:rPr>
                <w:rFonts w:eastAsiaTheme="minorEastAsia"/>
                <w:color w:val="000000" w:themeColor="text1"/>
              </w:rPr>
            </w:pPr>
            <w:r>
              <w:rPr>
                <w:rFonts w:eastAsiaTheme="minorEastAsia"/>
                <w:color w:val="000000" w:themeColor="text1"/>
              </w:rPr>
              <w:t>不符合</w:t>
            </w:r>
          </w:p>
        </w:tc>
      </w:tr>
    </w:tbl>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5.6.2 评价单元小结</w:t>
      </w:r>
      <w:bookmarkEnd w:id="1874"/>
      <w:bookmarkEnd w:id="1875"/>
      <w:bookmarkEnd w:id="1876"/>
      <w:bookmarkEnd w:id="1877"/>
      <w:bookmarkEnd w:id="1878"/>
      <w:bookmarkEnd w:id="1879"/>
      <w:bookmarkEnd w:id="1880"/>
      <w:bookmarkEnd w:id="1881"/>
      <w:bookmarkEnd w:id="1882"/>
      <w:bookmarkEnd w:id="1883"/>
    </w:p>
    <w:p>
      <w:pPr>
        <w:tabs>
          <w:tab w:val="left" w:pos="0"/>
        </w:tabs>
        <w:adjustRightInd w:val="0"/>
        <w:snapToGrid w:val="0"/>
        <w:spacing w:line="500" w:lineRule="exact"/>
        <w:ind w:firstLine="560" w:firstLineChars="200"/>
        <w:rPr>
          <w:bCs/>
          <w:color w:val="000000" w:themeColor="text1"/>
          <w:sz w:val="28"/>
          <w:szCs w:val="28"/>
        </w:rPr>
      </w:pPr>
      <w:bookmarkStart w:id="1884" w:name="_Toc16540"/>
      <w:bookmarkStart w:id="1885" w:name="_Toc32127"/>
      <w:bookmarkStart w:id="1886" w:name="_Toc7634"/>
      <w:bookmarkStart w:id="1887" w:name="_Toc23538"/>
      <w:bookmarkStart w:id="1888" w:name="_Toc24904"/>
      <w:bookmarkStart w:id="1889" w:name="_Toc2070"/>
      <w:bookmarkStart w:id="1890" w:name="_Toc2795"/>
      <w:bookmarkStart w:id="1891" w:name="_Toc6180"/>
      <w:bookmarkStart w:id="1892" w:name="_Toc22379"/>
      <w:bookmarkStart w:id="1893" w:name="_Toc16536"/>
      <w:bookmarkStart w:id="1894" w:name="_Toc32513"/>
      <w:bookmarkStart w:id="1895" w:name="_Toc14147"/>
      <w:bookmarkStart w:id="1896" w:name="_Toc31256"/>
      <w:bookmarkStart w:id="1897" w:name="_Toc16928"/>
      <w:bookmarkStart w:id="1898" w:name="_Toc19264"/>
      <w:bookmarkStart w:id="1899" w:name="_Toc445750308"/>
      <w:r>
        <w:rPr>
          <w:rFonts w:eastAsiaTheme="minorEastAsia"/>
          <w:snapToGrid w:val="0"/>
          <w:color w:val="000000" w:themeColor="text1"/>
          <w:kern w:val="0"/>
          <w:sz w:val="28"/>
          <w:szCs w:val="28"/>
        </w:rPr>
        <w:t>由上述分析评价结果可知，该项目安全设施方面除</w:t>
      </w:r>
      <w:r>
        <w:rPr>
          <w:rFonts w:hint="eastAsia" w:eastAsiaTheme="minorEastAsia"/>
          <w:snapToGrid w:val="0"/>
          <w:color w:val="000000" w:themeColor="text1"/>
          <w:kern w:val="0"/>
          <w:sz w:val="28"/>
          <w:szCs w:val="28"/>
        </w:rPr>
        <w:t>未设置人体静电消除装置；工作人员未穿戴防静电工作服进行作业；</w:t>
      </w:r>
      <w:r>
        <w:rPr>
          <w:rFonts w:eastAsiaTheme="minorEastAsia"/>
          <w:snapToGrid w:val="0"/>
          <w:color w:val="000000" w:themeColor="text1"/>
          <w:kern w:val="0"/>
          <w:sz w:val="28"/>
          <w:szCs w:val="28"/>
        </w:rPr>
        <w:t>出入口无“禁止吸烟、禁打手机”等安全警示标识；埋地甲醇罐操作井盖无介质流向标识</w:t>
      </w:r>
      <w:bookmarkStart w:id="1900" w:name="_Toc7562"/>
      <w:r>
        <w:rPr>
          <w:rFonts w:eastAsiaTheme="minorEastAsia"/>
          <w:snapToGrid w:val="0"/>
          <w:color w:val="000000" w:themeColor="text1"/>
          <w:kern w:val="0"/>
          <w:sz w:val="28"/>
          <w:szCs w:val="28"/>
        </w:rPr>
        <w:t>等问题外，其余均符合《生产设备安全卫生设计总则》（</w:t>
      </w:r>
      <w:r>
        <w:rPr>
          <w:rFonts w:hint="eastAsia" w:eastAsiaTheme="minorEastAsia"/>
          <w:snapToGrid w:val="0"/>
          <w:color w:val="000000" w:themeColor="text1"/>
          <w:kern w:val="0"/>
          <w:sz w:val="28"/>
          <w:szCs w:val="28"/>
          <w:lang w:eastAsia="zh-CN"/>
        </w:rPr>
        <w:t>GB5083-2023</w:t>
      </w:r>
      <w:r>
        <w:rPr>
          <w:rFonts w:eastAsiaTheme="minorEastAsia"/>
          <w:snapToGrid w:val="0"/>
          <w:color w:val="000000" w:themeColor="text1"/>
          <w:kern w:val="0"/>
          <w:sz w:val="28"/>
          <w:szCs w:val="28"/>
        </w:rPr>
        <w:t>）、《化学品作业场所安全警示标志规范》（AQ 3047</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2013）、《工业企业设计卫生标准》（GBZ1-2010）、《固定式钢梯及平台安全要求 第3部分工业防护栏杆及钢平台》（GB 4053.3-2009）、《化工企业安全卫生设计规范》（HG20571-2014）、《工业管道的基本识别色、识别符合和安全标识》（GB231-2003）</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《机械安全防护装置 固定式和活动式防护装置的设计与制造一般要</w:t>
      </w:r>
      <w:r>
        <w:rPr>
          <w:bCs/>
          <w:color w:val="000000" w:themeColor="text1"/>
          <w:sz w:val="28"/>
          <w:szCs w:val="28"/>
        </w:rPr>
        <w:t>求》（GB/T 8196-2018）</w:t>
      </w:r>
      <w:r>
        <w:rPr>
          <w:rFonts w:hint="eastAsia"/>
          <w:bCs/>
          <w:color w:val="000000" w:themeColor="text1"/>
          <w:sz w:val="28"/>
          <w:szCs w:val="28"/>
        </w:rPr>
        <w:t>、</w:t>
      </w:r>
      <w:r>
        <w:rPr>
          <w:bCs/>
          <w:color w:val="000000" w:themeColor="text1"/>
          <w:sz w:val="28"/>
          <w:szCs w:val="28"/>
        </w:rPr>
        <w:t>《爆炸危险环境电力装置设计规范》（GB50058-2014）</w:t>
      </w:r>
      <w:r>
        <w:rPr>
          <w:rFonts w:hint="eastAsia"/>
          <w:bCs/>
          <w:color w:val="000000" w:themeColor="text1"/>
          <w:sz w:val="28"/>
          <w:szCs w:val="28"/>
        </w:rPr>
        <w:t>、</w:t>
      </w:r>
      <w:r>
        <w:rPr>
          <w:bCs/>
          <w:color w:val="000000" w:themeColor="text1"/>
          <w:sz w:val="28"/>
          <w:szCs w:val="28"/>
        </w:rPr>
        <w:t>《汽车加油加气加氢站技术标准》（GB50156-2021）等标准、规范的要求。</w:t>
      </w:r>
      <w:bookmarkEnd w:id="1900"/>
    </w:p>
    <w:p>
      <w:pPr>
        <w:pStyle w:val="19"/>
        <w:spacing w:afterLines="100" w:line="500" w:lineRule="exact"/>
        <w:jc w:val="center"/>
        <w:rPr>
          <w:rFonts w:ascii="楷体_GB2312" w:hAnsi="宋体" w:eastAsia="楷体_GB2312"/>
          <w:color w:val="000000" w:themeColor="text1"/>
          <w:kern w:val="3"/>
        </w:rPr>
      </w:pPr>
      <w:bookmarkStart w:id="1901" w:name="_Toc787_WPSOffice_Level2"/>
      <w:r>
        <w:rPr>
          <w:rFonts w:hint="eastAsia" w:ascii="楷体_GB2312" w:hAnsi="宋体" w:eastAsia="楷体_GB2312"/>
          <w:color w:val="000000" w:themeColor="text1"/>
          <w:kern w:val="3"/>
        </w:rPr>
        <w:t>5.7安全管理评价单元</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1"/>
    </w:p>
    <w:p>
      <w:pPr>
        <w:pStyle w:val="19"/>
        <w:spacing w:afterLines="100" w:line="500" w:lineRule="exact"/>
        <w:rPr>
          <w:rFonts w:ascii="黑体" w:hAnsi="宋体" w:eastAsia="黑体"/>
          <w:color w:val="000000" w:themeColor="text1"/>
          <w:kern w:val="3"/>
          <w:sz w:val="28"/>
          <w:szCs w:val="28"/>
        </w:rPr>
      </w:pPr>
      <w:bookmarkStart w:id="1902" w:name="_Toc3040"/>
      <w:bookmarkStart w:id="1903" w:name="_Toc445750309"/>
      <w:bookmarkStart w:id="1904" w:name="_Toc15915"/>
      <w:bookmarkStart w:id="1905" w:name="_Toc20215"/>
      <w:bookmarkStart w:id="1906" w:name="_Toc16347"/>
      <w:bookmarkStart w:id="1907" w:name="_Toc13709"/>
      <w:bookmarkStart w:id="1908" w:name="_Toc8889"/>
      <w:bookmarkStart w:id="1909" w:name="_Toc15139"/>
      <w:bookmarkStart w:id="1910" w:name="_Toc11301"/>
      <w:bookmarkStart w:id="1911" w:name="_Toc22034"/>
      <w:bookmarkStart w:id="1912" w:name="_Toc19743"/>
      <w:r>
        <w:rPr>
          <w:rFonts w:hint="eastAsia" w:ascii="黑体" w:hAnsi="宋体" w:eastAsia="黑体"/>
          <w:color w:val="000000" w:themeColor="text1"/>
          <w:kern w:val="3"/>
          <w:sz w:val="28"/>
          <w:szCs w:val="28"/>
        </w:rPr>
        <w:t>5.7.1安全管理安全检查表</w:t>
      </w:r>
      <w:bookmarkEnd w:id="1902"/>
      <w:bookmarkEnd w:id="1903"/>
      <w:bookmarkEnd w:id="1904"/>
      <w:bookmarkEnd w:id="1905"/>
      <w:bookmarkEnd w:id="1906"/>
      <w:bookmarkEnd w:id="1907"/>
      <w:bookmarkEnd w:id="1908"/>
      <w:bookmarkEnd w:id="1909"/>
      <w:bookmarkEnd w:id="1910"/>
      <w:bookmarkEnd w:id="1911"/>
      <w:bookmarkEnd w:id="1912"/>
    </w:p>
    <w:p>
      <w:pPr>
        <w:tabs>
          <w:tab w:val="left" w:pos="0"/>
        </w:tabs>
        <w:adjustRightInd w:val="0"/>
        <w:snapToGrid w:val="0"/>
        <w:spacing w:line="500" w:lineRule="exact"/>
        <w:ind w:firstLine="560" w:firstLineChars="200"/>
        <w:rPr>
          <w:rFonts w:eastAsiaTheme="minorEastAsia"/>
          <w:color w:val="000000" w:themeColor="text1"/>
          <w:sz w:val="28"/>
          <w:szCs w:val="21"/>
        </w:rPr>
      </w:pPr>
      <w:r>
        <w:rPr>
          <w:bCs/>
          <w:color w:val="000000" w:themeColor="text1"/>
          <w:sz w:val="28"/>
          <w:szCs w:val="28"/>
        </w:rPr>
        <w:t>根据《中华人民共和国安全生产法》（中华人民共和国主席令第八十八号）、《生产经营单位安全培训规定》（国家安全生产监督管理总局令第3号，根据2013年8月29日国家安全监管总局令第63号第一次修正，根据2015年5月29日国家安全生产监管总局令第80号第二次修正）、《应急管理部关于修改〈生产安全事故应急预案管理办法〉的决定》（已经2019年6月24日应急管理部第20次部务会议审议通过，现予公布，自2019年9月1日起施行）、《云南省安全生产条例》等法律、文件的要求，对该项目的安全管理机构、安全管理规章制度、安全教育培训及人员持证、事故应急管理、安全投入等进行安全分析评价，具体情况如下表所示：</w:t>
      </w:r>
    </w:p>
    <w:p>
      <w:pPr>
        <w:spacing w:line="500" w:lineRule="exact"/>
        <w:ind w:firstLine="480" w:firstLineChars="200"/>
        <w:jc w:val="center"/>
        <w:rPr>
          <w:rFonts w:eastAsiaTheme="minorEastAsia"/>
          <w:bCs/>
          <w:color w:val="000000" w:themeColor="text1"/>
          <w:sz w:val="24"/>
        </w:rPr>
      </w:pPr>
      <w:r>
        <w:rPr>
          <w:rFonts w:eastAsiaTheme="minorEastAsia"/>
          <w:bCs/>
          <w:color w:val="000000" w:themeColor="text1"/>
          <w:sz w:val="24"/>
        </w:rPr>
        <w:t>表5-1</w:t>
      </w:r>
      <w:r>
        <w:rPr>
          <w:rFonts w:hint="eastAsia" w:eastAsiaTheme="minorEastAsia"/>
          <w:bCs/>
          <w:color w:val="000000" w:themeColor="text1"/>
          <w:sz w:val="24"/>
        </w:rPr>
        <w:t>4</w:t>
      </w:r>
      <w:r>
        <w:rPr>
          <w:rFonts w:eastAsiaTheme="minorEastAsia"/>
          <w:bCs/>
          <w:color w:val="000000" w:themeColor="text1"/>
          <w:sz w:val="24"/>
        </w:rPr>
        <w:t xml:space="preserve"> 安全管理安全检查表</w:t>
      </w:r>
    </w:p>
    <w:tbl>
      <w:tblPr>
        <w:tblStyle w:val="52"/>
        <w:tblW w:w="9401" w:type="dxa"/>
        <w:jc w:val="center"/>
        <w:tblLayout w:type="fixed"/>
        <w:tblCellMar>
          <w:top w:w="0" w:type="dxa"/>
          <w:left w:w="108" w:type="dxa"/>
          <w:bottom w:w="0" w:type="dxa"/>
          <w:right w:w="108" w:type="dxa"/>
        </w:tblCellMar>
      </w:tblPr>
      <w:tblGrid>
        <w:gridCol w:w="702"/>
        <w:gridCol w:w="3104"/>
        <w:gridCol w:w="2193"/>
        <w:gridCol w:w="2689"/>
        <w:gridCol w:w="713"/>
      </w:tblGrid>
      <w:tr>
        <w:tblPrEx>
          <w:tblCellMar>
            <w:top w:w="0" w:type="dxa"/>
            <w:left w:w="108" w:type="dxa"/>
            <w:bottom w:w="0" w:type="dxa"/>
            <w:right w:w="108" w:type="dxa"/>
          </w:tblCellMar>
        </w:tblPrEx>
        <w:trPr>
          <w:trHeight w:val="454" w:hRule="atLeast"/>
          <w:tblHeader/>
          <w:jc w:val="center"/>
        </w:trPr>
        <w:tc>
          <w:tcPr>
            <w:tcW w:w="70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b/>
                <w:bCs/>
                <w:color w:val="000000" w:themeColor="text1"/>
                <w:szCs w:val="21"/>
              </w:rPr>
            </w:pPr>
            <w:r>
              <w:rPr>
                <w:b/>
                <w:bCs/>
                <w:color w:val="000000" w:themeColor="text1"/>
                <w:szCs w:val="21"/>
                <w:lang w:val="zh-CN"/>
              </w:rPr>
              <w:t>序号</w:t>
            </w:r>
          </w:p>
        </w:tc>
        <w:tc>
          <w:tcPr>
            <w:tcW w:w="31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b/>
                <w:bCs/>
                <w:color w:val="000000" w:themeColor="text1"/>
                <w:szCs w:val="21"/>
              </w:rPr>
            </w:pPr>
            <w:r>
              <w:rPr>
                <w:b/>
                <w:bCs/>
                <w:color w:val="000000" w:themeColor="text1"/>
                <w:szCs w:val="21"/>
                <w:lang w:val="zh-CN"/>
              </w:rPr>
              <w:t>检查内容</w:t>
            </w:r>
          </w:p>
        </w:tc>
        <w:tc>
          <w:tcPr>
            <w:tcW w:w="219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b/>
                <w:bCs/>
                <w:color w:val="000000" w:themeColor="text1"/>
                <w:szCs w:val="21"/>
              </w:rPr>
            </w:pPr>
            <w:r>
              <w:rPr>
                <w:b/>
                <w:bCs/>
                <w:color w:val="000000" w:themeColor="text1"/>
                <w:szCs w:val="21"/>
                <w:lang w:val="zh-CN"/>
              </w:rPr>
              <w:t>检查依据</w:t>
            </w:r>
          </w:p>
        </w:tc>
        <w:tc>
          <w:tcPr>
            <w:tcW w:w="268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b/>
                <w:bCs/>
                <w:color w:val="000000" w:themeColor="text1"/>
                <w:szCs w:val="21"/>
              </w:rPr>
            </w:pPr>
            <w:r>
              <w:rPr>
                <w:b/>
                <w:bCs/>
                <w:color w:val="000000" w:themeColor="text1"/>
                <w:szCs w:val="21"/>
                <w:lang w:val="zh-CN"/>
              </w:rPr>
              <w:t>检查情况</w:t>
            </w:r>
          </w:p>
        </w:tc>
        <w:tc>
          <w:tcPr>
            <w:tcW w:w="7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b/>
                <w:bCs/>
                <w:color w:val="000000" w:themeColor="text1"/>
                <w:szCs w:val="21"/>
                <w:lang w:val="zh-CN"/>
              </w:rPr>
            </w:pPr>
            <w:r>
              <w:rPr>
                <w:b/>
                <w:bCs/>
                <w:color w:val="000000" w:themeColor="text1"/>
                <w:szCs w:val="21"/>
                <w:lang w:val="zh-CN"/>
              </w:rPr>
              <w:t>检查</w:t>
            </w:r>
          </w:p>
          <w:p>
            <w:pPr>
              <w:autoSpaceDE w:val="0"/>
              <w:autoSpaceDN w:val="0"/>
              <w:adjustRightInd w:val="0"/>
              <w:rPr>
                <w:b/>
                <w:bCs/>
                <w:color w:val="000000" w:themeColor="text1"/>
                <w:szCs w:val="21"/>
              </w:rPr>
            </w:pPr>
            <w:r>
              <w:rPr>
                <w:b/>
                <w:bCs/>
                <w:color w:val="000000" w:themeColor="text1"/>
                <w:szCs w:val="21"/>
                <w:lang w:val="zh-CN"/>
              </w:rPr>
              <w:t>结果</w:t>
            </w:r>
          </w:p>
        </w:tc>
      </w:tr>
      <w:tr>
        <w:tblPrEx>
          <w:tblCellMar>
            <w:top w:w="0" w:type="dxa"/>
            <w:left w:w="108" w:type="dxa"/>
            <w:bottom w:w="0" w:type="dxa"/>
            <w:right w:w="108" w:type="dxa"/>
          </w:tblCellMar>
        </w:tblPrEx>
        <w:trPr>
          <w:trHeight w:val="454" w:hRule="atLeast"/>
          <w:jc w:val="center"/>
        </w:trPr>
        <w:tc>
          <w:tcPr>
            <w:tcW w:w="9401"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b/>
                <w:color w:val="000000" w:themeColor="text1"/>
                <w:szCs w:val="21"/>
                <w:lang w:val="zh-CN"/>
              </w:rPr>
            </w:pPr>
            <w:r>
              <w:rPr>
                <w:b/>
                <w:color w:val="000000" w:themeColor="text1"/>
                <w:szCs w:val="21"/>
                <w:lang w:val="zh-CN"/>
              </w:rPr>
              <w:t>安全管理机构</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3"/>
              </w:numPr>
              <w:tabs>
                <w:tab w:val="left" w:pos="630"/>
              </w:tabs>
              <w:autoSpaceDE w:val="0"/>
              <w:autoSpaceDN w:val="0"/>
              <w:adjustRightInd w:val="0"/>
              <w:ind w:left="0" w:firstLine="0"/>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矿山、金属冶炼、建筑施工、运输单位和危险物品的生产、经营、储存、装卸单位，应当设置安全生产管理机构或者配备专职安全生产管理人员。</w:t>
            </w:r>
          </w:p>
          <w:p>
            <w:pPr>
              <w:rPr>
                <w:color w:val="000000" w:themeColor="text1"/>
                <w:szCs w:val="21"/>
                <w:lang w:val="zh-CN"/>
              </w:rPr>
            </w:pPr>
            <w:r>
              <w:rPr>
                <w:color w:val="000000" w:themeColor="text1"/>
                <w:szCs w:val="21"/>
              </w:rPr>
              <w:t>前款规定以外的其他生产经营单位，从业人员超过一百人的，应当设置安全生产管理机构或者配备专职安全生产管理人员；从业人员在一百人以下的，应当配备专职或者兼职的安全生产管理人员。</w:t>
            </w:r>
          </w:p>
        </w:tc>
        <w:tc>
          <w:tcPr>
            <w:tcW w:w="219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lang w:val="zh-CN"/>
              </w:rPr>
            </w:pPr>
            <w:r>
              <w:rPr>
                <w:color w:val="000000" w:themeColor="text1"/>
                <w:szCs w:val="21"/>
              </w:rPr>
              <w:t>《中华人民共和国安全生产法》（中华人民共和国主席令第八十八号）第二十四条</w:t>
            </w:r>
          </w:p>
        </w:tc>
        <w:tc>
          <w:tcPr>
            <w:tcW w:w="2689"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lang w:val="zh-CN"/>
              </w:rPr>
            </w:pPr>
            <w:r>
              <w:rPr>
                <w:color w:val="000000" w:themeColor="text1"/>
                <w:szCs w:val="21"/>
                <w:lang w:val="zh-CN"/>
              </w:rPr>
              <w:t>该公司成立了安全生产领导小组，并任命了专职安全员。</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lang w:val="zh-CN"/>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9401"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color w:val="000000" w:themeColor="text1"/>
                <w:szCs w:val="21"/>
                <w:lang w:val="zh-CN"/>
              </w:rPr>
            </w:pPr>
            <w:r>
              <w:rPr>
                <w:b/>
                <w:bCs/>
                <w:color w:val="000000" w:themeColor="text1"/>
                <w:szCs w:val="21"/>
                <w:lang w:val="zh-CN"/>
              </w:rPr>
              <w:t>安全规章管理制度</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4"/>
              </w:numPr>
              <w:tabs>
                <w:tab w:val="left" w:pos="630"/>
              </w:tabs>
              <w:autoSpaceDE w:val="0"/>
              <w:autoSpaceDN w:val="0"/>
              <w:adjustRightInd w:val="0"/>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tcPr>
          <w:p>
            <w:pPr>
              <w:rPr>
                <w:color w:val="000000" w:themeColor="text1"/>
                <w:kern w:val="0"/>
                <w:szCs w:val="21"/>
              </w:rPr>
            </w:pPr>
            <w:r>
              <w:rPr>
                <w:color w:val="000000" w:themeColor="text1"/>
                <w:kern w:val="0"/>
                <w:szCs w:val="21"/>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pPr>
              <w:rPr>
                <w:color w:val="000000" w:themeColor="text1"/>
                <w:szCs w:val="21"/>
                <w:lang w:val="zh-CN"/>
              </w:rPr>
            </w:pPr>
            <w:r>
              <w:rPr>
                <w:color w:val="000000" w:themeColor="text1"/>
                <w:kern w:val="0"/>
                <w:szCs w:val="21"/>
              </w:rPr>
              <w:t>平台经济等新兴行业、领域的生产经营单位应当根据本行业、领域的特点，建立健全并落实全员安全生产责任制，加强从业人员安全生产教育和培训，履行本法和其他法律、法规规定的有关安全生产义务。</w:t>
            </w:r>
          </w:p>
        </w:tc>
        <w:tc>
          <w:tcPr>
            <w:tcW w:w="2193" w:type="dxa"/>
            <w:tcBorders>
              <w:top w:val="single" w:color="auto" w:sz="6" w:space="0"/>
              <w:left w:val="single" w:color="auto" w:sz="6" w:space="0"/>
              <w:bottom w:val="single" w:color="auto" w:sz="6" w:space="0"/>
              <w:right w:val="single" w:color="auto" w:sz="6" w:space="0"/>
            </w:tcBorders>
          </w:tcPr>
          <w:p>
            <w:pPr>
              <w:rPr>
                <w:color w:val="000000" w:themeColor="text1"/>
                <w:kern w:val="0"/>
                <w:szCs w:val="21"/>
              </w:rPr>
            </w:pPr>
          </w:p>
          <w:p>
            <w:pPr>
              <w:rPr>
                <w:color w:val="000000" w:themeColor="text1"/>
                <w:szCs w:val="21"/>
                <w:lang w:val="zh-CN"/>
              </w:rPr>
            </w:pPr>
            <w:r>
              <w:rPr>
                <w:color w:val="000000" w:themeColor="text1"/>
                <w:szCs w:val="21"/>
              </w:rPr>
              <w:t>《中华人民共和国安全生产法》（中华人民共和国主席令第八十八号）第四条</w:t>
            </w:r>
          </w:p>
        </w:tc>
        <w:tc>
          <w:tcPr>
            <w:tcW w:w="2689"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kern w:val="0"/>
                <w:szCs w:val="21"/>
              </w:rPr>
              <w:t>该公司制定了相应的安全责任和安全生产规章制度。</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4"/>
              </w:numPr>
              <w:tabs>
                <w:tab w:val="left" w:pos="630"/>
              </w:tabs>
              <w:autoSpaceDE w:val="0"/>
              <w:autoSpaceDN w:val="0"/>
              <w:adjustRightInd w:val="0"/>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tcPr>
          <w:p>
            <w:pPr>
              <w:rPr>
                <w:color w:val="000000" w:themeColor="text1"/>
                <w:szCs w:val="21"/>
                <w:lang w:val="zh-CN"/>
              </w:rPr>
            </w:pPr>
            <w:r>
              <w:rPr>
                <w:color w:val="000000" w:themeColor="text1"/>
                <w:kern w:val="0"/>
                <w:szCs w:val="21"/>
              </w:rPr>
              <w:t>生产经营单位的主要负责人是本单位安全生产第一责任人，对本单位的安全生产工作全面负责。其他负责人对职责范围内的安全生产工作负责。</w:t>
            </w:r>
          </w:p>
        </w:tc>
        <w:tc>
          <w:tcPr>
            <w:tcW w:w="2193" w:type="dxa"/>
            <w:tcBorders>
              <w:top w:val="single" w:color="auto" w:sz="6" w:space="0"/>
              <w:left w:val="single" w:color="auto" w:sz="6" w:space="0"/>
              <w:bottom w:val="single" w:color="auto" w:sz="6" w:space="0"/>
              <w:right w:val="single" w:color="auto" w:sz="6" w:space="0"/>
            </w:tcBorders>
          </w:tcPr>
          <w:p>
            <w:pPr>
              <w:rPr>
                <w:color w:val="000000" w:themeColor="text1"/>
                <w:szCs w:val="21"/>
                <w:lang w:val="zh-CN"/>
              </w:rPr>
            </w:pPr>
            <w:r>
              <w:rPr>
                <w:color w:val="000000" w:themeColor="text1"/>
                <w:szCs w:val="21"/>
              </w:rPr>
              <w:t>《中华人民共和国安全生产法》（中华人民共和国主席令第八十八号）</w:t>
            </w:r>
            <w:r>
              <w:rPr>
                <w:color w:val="000000" w:themeColor="text1"/>
                <w:kern w:val="0"/>
                <w:szCs w:val="21"/>
              </w:rPr>
              <w:t>第五条</w:t>
            </w:r>
          </w:p>
        </w:tc>
        <w:tc>
          <w:tcPr>
            <w:tcW w:w="2689"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kern w:val="0"/>
                <w:szCs w:val="21"/>
              </w:rPr>
              <w:t>根据公司内制定的安全责任制，公司主要负责人对其安全生产工作全面负责。</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4"/>
              </w:numPr>
              <w:tabs>
                <w:tab w:val="left" w:pos="630"/>
              </w:tabs>
              <w:autoSpaceDE w:val="0"/>
              <w:autoSpaceDN w:val="0"/>
              <w:adjustRightInd w:val="0"/>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tcPr>
          <w:p>
            <w:pPr>
              <w:rPr>
                <w:color w:val="000000" w:themeColor="text1"/>
                <w:kern w:val="0"/>
                <w:szCs w:val="21"/>
              </w:rPr>
            </w:pPr>
            <w:r>
              <w:rPr>
                <w:color w:val="000000" w:themeColor="text1"/>
                <w:kern w:val="0"/>
                <w:szCs w:val="21"/>
              </w:rPr>
              <w:t>生产经营单位应当建立安全风险分级管控制度，按照安全风险分级采取相应的管控措施。</w:t>
            </w:r>
          </w:p>
          <w:p>
            <w:pPr>
              <w:rPr>
                <w:color w:val="000000" w:themeColor="text1"/>
                <w:kern w:val="0"/>
                <w:szCs w:val="21"/>
              </w:rPr>
            </w:pPr>
            <w:r>
              <w:rPr>
                <w:color w:val="000000" w:themeColor="text1"/>
                <w:kern w:val="0"/>
                <w:szCs w:val="21"/>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pPr>
              <w:rPr>
                <w:color w:val="000000" w:themeColor="text1"/>
                <w:kern w:val="0"/>
                <w:szCs w:val="21"/>
              </w:rPr>
            </w:pPr>
            <w:r>
              <w:rPr>
                <w:color w:val="000000" w:themeColor="text1"/>
                <w:kern w:val="0"/>
                <w:szCs w:val="21"/>
              </w:rPr>
              <w:t>县级以上地方各级人民政府负有安全生产监督管理职责的部门应当将重大事故隐患纳入相关信息系统，建立健全重大事故隐患治理督办制度，督促生产经营单位消除重大事故隐患。</w:t>
            </w:r>
          </w:p>
        </w:tc>
        <w:tc>
          <w:tcPr>
            <w:tcW w:w="2193" w:type="dxa"/>
            <w:tcBorders>
              <w:top w:val="single" w:color="auto" w:sz="6" w:space="0"/>
              <w:left w:val="single" w:color="auto" w:sz="6" w:space="0"/>
              <w:bottom w:val="single" w:color="auto" w:sz="6" w:space="0"/>
              <w:right w:val="single" w:color="auto" w:sz="6" w:space="0"/>
            </w:tcBorders>
          </w:tcPr>
          <w:p>
            <w:pPr>
              <w:rPr>
                <w:color w:val="000000" w:themeColor="text1"/>
                <w:kern w:val="0"/>
                <w:szCs w:val="21"/>
              </w:rPr>
            </w:pPr>
            <w:r>
              <w:rPr>
                <w:color w:val="000000" w:themeColor="text1"/>
                <w:szCs w:val="21"/>
              </w:rPr>
              <w:t>《中华人民共和国安全生产法》（中华人民共和国主席令第八十八号）</w:t>
            </w:r>
            <w:r>
              <w:rPr>
                <w:color w:val="000000" w:themeColor="text1"/>
                <w:kern w:val="0"/>
                <w:szCs w:val="21"/>
              </w:rPr>
              <w:t>第四十一条</w:t>
            </w:r>
          </w:p>
        </w:tc>
        <w:tc>
          <w:tcPr>
            <w:tcW w:w="2689"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kern w:val="0"/>
                <w:szCs w:val="21"/>
              </w:rPr>
              <w:t>公司编制了隐患治理管理制度，还制定了事故管理制度并进行了日常安全检查。</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4"/>
              </w:numPr>
              <w:tabs>
                <w:tab w:val="left" w:pos="630"/>
              </w:tabs>
              <w:autoSpaceDE w:val="0"/>
              <w:autoSpaceDN w:val="0"/>
              <w:adjustRightInd w:val="0"/>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tcPr>
          <w:p>
            <w:pPr>
              <w:jc w:val="left"/>
              <w:rPr>
                <w:color w:val="000000" w:themeColor="text1"/>
                <w:szCs w:val="21"/>
                <w:lang w:val="zh-CN"/>
              </w:rPr>
            </w:pPr>
            <w:r>
              <w:rPr>
                <w:color w:val="000000" w:themeColor="text1"/>
                <w:szCs w:val="21"/>
              </w:rPr>
              <w:t>生产经营单位应当建立健全下列制度：(一)安全生产责任制度；(二)安全生产教育培训制度；(三)安全生产检查制度；(四))劳动防护用品管理制度；(五)法律、法规规定应当制定的其他安全生产制度。</w:t>
            </w:r>
          </w:p>
        </w:tc>
        <w:tc>
          <w:tcPr>
            <w:tcW w:w="2193" w:type="dxa"/>
            <w:tcBorders>
              <w:top w:val="single" w:color="auto" w:sz="6" w:space="0"/>
              <w:left w:val="single" w:color="auto" w:sz="6" w:space="0"/>
              <w:bottom w:val="single" w:color="auto" w:sz="6" w:space="0"/>
              <w:right w:val="single" w:color="auto" w:sz="6" w:space="0"/>
            </w:tcBorders>
            <w:vAlign w:val="center"/>
          </w:tcPr>
          <w:p>
            <w:pPr>
              <w:jc w:val="left"/>
              <w:rPr>
                <w:color w:val="000000" w:themeColor="text1"/>
                <w:szCs w:val="21"/>
                <w:lang w:val="zh-CN"/>
              </w:rPr>
            </w:pPr>
            <w:r>
              <w:rPr>
                <w:color w:val="000000" w:themeColor="text1"/>
                <w:szCs w:val="21"/>
              </w:rPr>
              <w:t>《云南省安全生产条例》第二章第十六条</w:t>
            </w:r>
          </w:p>
        </w:tc>
        <w:tc>
          <w:tcPr>
            <w:tcW w:w="2689" w:type="dxa"/>
            <w:tcBorders>
              <w:top w:val="single" w:color="auto" w:sz="6" w:space="0"/>
              <w:left w:val="single" w:color="auto" w:sz="6" w:space="0"/>
              <w:bottom w:val="single" w:color="auto" w:sz="6" w:space="0"/>
              <w:right w:val="single" w:color="auto" w:sz="6" w:space="0"/>
            </w:tcBorders>
            <w:vAlign w:val="center"/>
          </w:tcPr>
          <w:p>
            <w:pPr>
              <w:jc w:val="left"/>
              <w:rPr>
                <w:color w:val="000000" w:themeColor="text1"/>
                <w:szCs w:val="21"/>
              </w:rPr>
            </w:pPr>
            <w:r>
              <w:rPr>
                <w:color w:val="000000" w:themeColor="text1"/>
                <w:szCs w:val="21"/>
              </w:rPr>
              <w:t>公司制定了各级人员安全职责、安全培训教育制度、安全劳动防护用品（具）以及其他相应的安全管理制度。</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9401" w:type="dxa"/>
            <w:gridSpan w:val="5"/>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rPr>
            </w:pPr>
            <w:r>
              <w:rPr>
                <w:b/>
                <w:bCs/>
                <w:color w:val="000000" w:themeColor="text1"/>
                <w:szCs w:val="21"/>
              </w:rPr>
              <w:t>安全教育培训及人员持证</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5"/>
              </w:numPr>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vAlign w:val="center"/>
          </w:tcPr>
          <w:p>
            <w:pPr>
              <w:jc w:val="left"/>
              <w:rPr>
                <w:color w:val="000000" w:themeColor="text1"/>
                <w:kern w:val="0"/>
                <w:szCs w:val="21"/>
              </w:rPr>
            </w:pPr>
            <w:r>
              <w:rPr>
                <w:color w:val="000000" w:themeColor="text1"/>
                <w:szCs w:val="21"/>
              </w:rPr>
              <w:t>生产经营单位应当按照安全生产法和有关法律、行政法规和本规定，建立健全安全培训工作制度。</w:t>
            </w:r>
          </w:p>
        </w:tc>
        <w:tc>
          <w:tcPr>
            <w:tcW w:w="2193" w:type="dxa"/>
            <w:tcBorders>
              <w:top w:val="single" w:color="auto" w:sz="6" w:space="0"/>
              <w:left w:val="single" w:color="auto" w:sz="6" w:space="0"/>
              <w:bottom w:val="single" w:color="auto" w:sz="6" w:space="0"/>
              <w:right w:val="single" w:color="auto" w:sz="6" w:space="0"/>
            </w:tcBorders>
            <w:vAlign w:val="center"/>
          </w:tcPr>
          <w:p>
            <w:pPr>
              <w:jc w:val="left"/>
              <w:rPr>
                <w:color w:val="000000" w:themeColor="text1"/>
                <w:kern w:val="0"/>
                <w:szCs w:val="21"/>
              </w:rPr>
            </w:pPr>
            <w:r>
              <w:rPr>
                <w:color w:val="000000" w:themeColor="text1"/>
                <w:szCs w:val="21"/>
              </w:rPr>
              <w:t>《生产经营单位安全培训规定》（修订）（国家安监总局令第3号，2013年8月29号）第三条</w:t>
            </w:r>
          </w:p>
        </w:tc>
        <w:tc>
          <w:tcPr>
            <w:tcW w:w="2689" w:type="dxa"/>
            <w:tcBorders>
              <w:top w:val="single" w:color="auto" w:sz="6" w:space="0"/>
              <w:left w:val="single" w:color="auto" w:sz="6" w:space="0"/>
              <w:bottom w:val="single" w:color="auto" w:sz="6" w:space="0"/>
              <w:right w:val="single" w:color="auto" w:sz="6" w:space="0"/>
            </w:tcBorders>
            <w:vAlign w:val="center"/>
          </w:tcPr>
          <w:p>
            <w:pPr>
              <w:jc w:val="left"/>
              <w:rPr>
                <w:color w:val="000000" w:themeColor="text1"/>
                <w:kern w:val="0"/>
                <w:szCs w:val="21"/>
              </w:rPr>
            </w:pPr>
            <w:r>
              <w:rPr>
                <w:color w:val="000000" w:themeColor="text1"/>
                <w:szCs w:val="21"/>
              </w:rPr>
              <w:t>制定了安全教育培训制度。</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5"/>
              </w:numPr>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vAlign w:val="center"/>
          </w:tcPr>
          <w:p>
            <w:pPr>
              <w:jc w:val="left"/>
              <w:rPr>
                <w:color w:val="000000" w:themeColor="text1"/>
                <w:kern w:val="0"/>
                <w:szCs w:val="21"/>
              </w:rPr>
            </w:pPr>
            <w:r>
              <w:rPr>
                <w:color w:val="000000" w:themeColor="text1"/>
                <w:szCs w:val="21"/>
              </w:rPr>
              <w:t>生产经营单位应当进行安全培训的从业人员包括主要负责人、安全生产管理人员、特种作业人员和其他从业人员。生产经营单位从业人员应当接受安全培训，熟悉有关安全生产规章制度和安全操作规程，具备必要的安全生产知识，掌握本岗位的安全操作技能，增强预防事故、控制职业危害和应急处理的能力。未经安全生产培训合格的从业人员，不得上岗作业。</w:t>
            </w:r>
          </w:p>
        </w:tc>
        <w:tc>
          <w:tcPr>
            <w:tcW w:w="2193" w:type="dxa"/>
            <w:tcBorders>
              <w:top w:val="single" w:color="auto" w:sz="6" w:space="0"/>
              <w:left w:val="single" w:color="auto" w:sz="6" w:space="0"/>
              <w:bottom w:val="single" w:color="auto" w:sz="6" w:space="0"/>
              <w:right w:val="single" w:color="auto" w:sz="6" w:space="0"/>
            </w:tcBorders>
            <w:vAlign w:val="center"/>
          </w:tcPr>
          <w:p>
            <w:pPr>
              <w:jc w:val="left"/>
              <w:rPr>
                <w:color w:val="000000" w:themeColor="text1"/>
                <w:kern w:val="0"/>
                <w:szCs w:val="21"/>
              </w:rPr>
            </w:pPr>
            <w:r>
              <w:rPr>
                <w:color w:val="000000" w:themeColor="text1"/>
                <w:szCs w:val="21"/>
              </w:rPr>
              <w:t>《生产经营单位安全培训规定》（修订）（国家安监总局令第3号，2013年8月29号）第四条</w:t>
            </w:r>
          </w:p>
        </w:tc>
        <w:tc>
          <w:tcPr>
            <w:tcW w:w="2689" w:type="dxa"/>
            <w:tcBorders>
              <w:top w:val="single" w:color="auto" w:sz="6" w:space="0"/>
              <w:left w:val="single" w:color="auto" w:sz="6" w:space="0"/>
              <w:bottom w:val="single" w:color="auto" w:sz="6" w:space="0"/>
              <w:right w:val="single" w:color="auto" w:sz="6" w:space="0"/>
            </w:tcBorders>
            <w:vAlign w:val="center"/>
          </w:tcPr>
          <w:p>
            <w:pPr>
              <w:jc w:val="left"/>
              <w:rPr>
                <w:color w:val="000000" w:themeColor="text1"/>
                <w:kern w:val="0"/>
                <w:szCs w:val="21"/>
              </w:rPr>
            </w:pPr>
            <w:r>
              <w:rPr>
                <w:color w:val="000000" w:themeColor="text1"/>
                <w:szCs w:val="21"/>
              </w:rPr>
              <w:t>制定的安全培训教育制度。各级人员按要求取得相应的资质证书。</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5"/>
              </w:numPr>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vAlign w:val="center"/>
          </w:tcPr>
          <w:p>
            <w:pPr>
              <w:jc w:val="left"/>
              <w:rPr>
                <w:color w:val="000000" w:themeColor="text1"/>
                <w:kern w:val="0"/>
                <w:szCs w:val="21"/>
              </w:rPr>
            </w:pPr>
            <w:r>
              <w:rPr>
                <w:color w:val="000000" w:themeColor="text1"/>
                <w:kern w:val="0"/>
                <w:szCs w:val="21"/>
              </w:rPr>
              <w:t>生产经营单位主要负责人和安全生产管理人员应当接受安全培训，具备与所从事的生产经营活动相适应的安全生产知识和管理能力。</w:t>
            </w:r>
          </w:p>
        </w:tc>
        <w:tc>
          <w:tcPr>
            <w:tcW w:w="2193" w:type="dxa"/>
            <w:tcBorders>
              <w:top w:val="single" w:color="auto" w:sz="6" w:space="0"/>
              <w:left w:val="single" w:color="auto" w:sz="6" w:space="0"/>
              <w:bottom w:val="single" w:color="auto" w:sz="6" w:space="0"/>
              <w:right w:val="single" w:color="auto" w:sz="6" w:space="0"/>
            </w:tcBorders>
            <w:vAlign w:val="center"/>
          </w:tcPr>
          <w:p>
            <w:pPr>
              <w:widowControl/>
              <w:jc w:val="left"/>
              <w:rPr>
                <w:color w:val="000000" w:themeColor="text1"/>
                <w:kern w:val="0"/>
                <w:szCs w:val="21"/>
              </w:rPr>
            </w:pPr>
            <w:r>
              <w:rPr>
                <w:color w:val="000000" w:themeColor="text1"/>
                <w:szCs w:val="21"/>
              </w:rPr>
              <w:t>《生产经营单位安全培训规定》（国家安监总局令第3号）</w:t>
            </w:r>
            <w:r>
              <w:rPr>
                <w:color w:val="000000" w:themeColor="text1"/>
                <w:kern w:val="0"/>
                <w:szCs w:val="21"/>
              </w:rPr>
              <w:t>第六条</w:t>
            </w:r>
          </w:p>
        </w:tc>
        <w:tc>
          <w:tcPr>
            <w:tcW w:w="2689" w:type="dxa"/>
            <w:tcBorders>
              <w:top w:val="single" w:color="auto" w:sz="6" w:space="0"/>
              <w:left w:val="single" w:color="auto" w:sz="6" w:space="0"/>
              <w:bottom w:val="single" w:color="auto" w:sz="6" w:space="0"/>
              <w:right w:val="single" w:color="auto" w:sz="6" w:space="0"/>
            </w:tcBorders>
            <w:vAlign w:val="center"/>
          </w:tcPr>
          <w:p>
            <w:pPr>
              <w:jc w:val="left"/>
              <w:rPr>
                <w:rFonts w:hint="default" w:eastAsia="宋体"/>
                <w:color w:val="000000" w:themeColor="text1"/>
                <w:kern w:val="0"/>
                <w:szCs w:val="21"/>
                <w:lang w:val="en-US" w:eastAsia="zh-CN"/>
              </w:rPr>
            </w:pPr>
            <w:r>
              <w:rPr>
                <w:rFonts w:hint="eastAsia"/>
                <w:color w:val="000000" w:themeColor="text1"/>
                <w:kern w:val="0"/>
                <w:szCs w:val="21"/>
                <w:lang w:val="en-US" w:eastAsia="zh-CN"/>
              </w:rPr>
              <w:t>主要负责人及安全管理人员持证上岗</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9401" w:type="dxa"/>
            <w:gridSpan w:val="5"/>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rPr>
            </w:pPr>
            <w:r>
              <w:rPr>
                <w:b/>
                <w:bCs/>
                <w:color w:val="000000" w:themeColor="text1"/>
                <w:szCs w:val="21"/>
              </w:rPr>
              <w:t>事故应急救援管理</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6"/>
              </w:numPr>
              <w:ind w:firstLine="0"/>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kern w:val="0"/>
                <w:szCs w:val="21"/>
              </w:rPr>
              <w:t>生产经营单位应当制定本单位生产安全事故应急救援预案，与所在地县级以上地方人民政府组织制定的生产安全事故应急救援预案相衔接，并定期组织演练。</w:t>
            </w:r>
          </w:p>
        </w:tc>
        <w:tc>
          <w:tcPr>
            <w:tcW w:w="219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《中华人民共和国安全生产法》（中华人民共和国主席令第八十八号）</w:t>
            </w:r>
            <w:r>
              <w:rPr>
                <w:color w:val="000000" w:themeColor="text1"/>
                <w:kern w:val="0"/>
                <w:szCs w:val="21"/>
              </w:rPr>
              <w:t>第八十一条</w:t>
            </w:r>
          </w:p>
        </w:tc>
        <w:tc>
          <w:tcPr>
            <w:tcW w:w="2689"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szCs w:val="21"/>
              </w:rPr>
              <w:t>公司编制了安全生产事故应急预案，并进行了演练。</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6"/>
              </w:numPr>
              <w:ind w:firstLine="0"/>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kern w:val="0"/>
                <w:szCs w:val="21"/>
              </w:rPr>
              <w:t>危险物品的生产、经营、储存单位以及矿山、金属冶炼、城市轨道交通运营、建筑施工单位应当建立应急救援组织；生产经营规模较小的，可以不建立应急救援组织，但应当指定兼职的应急救援人员。</w:t>
            </w:r>
          </w:p>
          <w:p>
            <w:pPr>
              <w:rPr>
                <w:color w:val="000000" w:themeColor="text1"/>
                <w:kern w:val="0"/>
                <w:szCs w:val="21"/>
              </w:rPr>
            </w:pPr>
            <w:r>
              <w:rPr>
                <w:color w:val="000000" w:themeColor="text1"/>
                <w:kern w:val="0"/>
                <w:szCs w:val="21"/>
              </w:rPr>
              <w:t>危险物品的生产、经营、储存、运输单位以及矿山、金属冶炼、城市轨道交通运营、建筑施工单位应当配备必要的应急救援器材、设备和物资，并进行经常性维护、保养，保证正常运转。</w:t>
            </w:r>
          </w:p>
        </w:tc>
        <w:tc>
          <w:tcPr>
            <w:tcW w:w="219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《中华人民共和国安全生产法》（中华人民共和国主席令第八十八号）</w:t>
            </w:r>
            <w:r>
              <w:rPr>
                <w:color w:val="000000" w:themeColor="text1"/>
                <w:kern w:val="0"/>
                <w:szCs w:val="21"/>
              </w:rPr>
              <w:t>第八十二条</w:t>
            </w:r>
          </w:p>
        </w:tc>
        <w:tc>
          <w:tcPr>
            <w:tcW w:w="2689"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kern w:val="0"/>
                <w:szCs w:val="21"/>
              </w:rPr>
              <w:t>根据公司编制的事故应急预案内容，成立了应急救援组织，配备了相应的应急救援器材和设备，并基本能够进行日常维护和保养。</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6"/>
              </w:numPr>
              <w:ind w:firstLine="0"/>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kern w:val="0"/>
                <w:szCs w:val="21"/>
              </w:rPr>
              <w:t>生产经营单位应当根据有关法律、法规和《生产经营单位安全生产事故应急预案编制导则》（GB/T29639-2020），结合本单位的危险源状况、危险性分析情况和可能发生的事故特点，制定相应的应急预案。</w:t>
            </w:r>
          </w:p>
          <w:p>
            <w:pPr>
              <w:rPr>
                <w:color w:val="000000" w:themeColor="text1"/>
                <w:kern w:val="0"/>
                <w:szCs w:val="21"/>
              </w:rPr>
            </w:pPr>
            <w:r>
              <w:rPr>
                <w:color w:val="000000" w:themeColor="text1"/>
                <w:kern w:val="0"/>
                <w:szCs w:val="21"/>
              </w:rPr>
              <w:t>生产经营单位的应急预案按照针对情况的不同，分为综合应急预案、专项应急预案和现场处置方案。</w:t>
            </w:r>
          </w:p>
        </w:tc>
        <w:tc>
          <w:tcPr>
            <w:tcW w:w="219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《生产安全事故应急预案管理办法》（根据2019年6月24日《应急管理部关于修改〈生产安全事故应急预案管理办法〉的决定》修订，自2019年9月1日起实施）</w:t>
            </w:r>
          </w:p>
        </w:tc>
        <w:tc>
          <w:tcPr>
            <w:tcW w:w="2689"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szCs w:val="21"/>
              </w:rPr>
              <w:t>该公司在</w:t>
            </w:r>
            <w:r>
              <w:rPr>
                <w:rFonts w:hint="eastAsia"/>
                <w:color w:val="000000" w:themeColor="text1"/>
                <w:szCs w:val="21"/>
                <w:lang w:val="en-US" w:eastAsia="zh-CN"/>
              </w:rPr>
              <w:t>2025</w:t>
            </w:r>
            <w:r>
              <w:rPr>
                <w:color w:val="000000" w:themeColor="text1"/>
                <w:szCs w:val="21"/>
              </w:rPr>
              <w:t>年编制了生产安全事故应急预案，已经专家评审，报</w:t>
            </w:r>
            <w:r>
              <w:rPr>
                <w:rFonts w:hint="eastAsia"/>
                <w:color w:val="000000" w:themeColor="text1"/>
                <w:szCs w:val="21"/>
              </w:rPr>
              <w:t>昭阳区</w:t>
            </w:r>
            <w:r>
              <w:rPr>
                <w:color w:val="000000" w:themeColor="text1"/>
                <w:szCs w:val="21"/>
              </w:rPr>
              <w:t>应急管理局备案，并进行了演练。</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9401" w:type="dxa"/>
            <w:gridSpan w:val="5"/>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rPr>
            </w:pPr>
            <w:r>
              <w:rPr>
                <w:b/>
                <w:bCs/>
                <w:color w:val="000000" w:themeColor="text1"/>
                <w:szCs w:val="21"/>
              </w:rPr>
              <w:t>安全投入</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7"/>
              </w:numPr>
              <w:ind w:firstLine="0"/>
              <w:jc w:val="left"/>
              <w:rPr>
                <w:color w:val="000000" w:themeColor="text1"/>
                <w:szCs w:val="21"/>
              </w:rPr>
            </w:pPr>
          </w:p>
        </w:tc>
        <w:tc>
          <w:tcPr>
            <w:tcW w:w="3104"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kern w:val="0"/>
                <w:szCs w:val="21"/>
              </w:rPr>
              <w:t>生产经营单位应当安排用于配备劳动防护用品、进行安全生产培训的经费。</w:t>
            </w:r>
          </w:p>
        </w:tc>
        <w:tc>
          <w:tcPr>
            <w:tcW w:w="2193" w:type="dxa"/>
            <w:tcBorders>
              <w:top w:val="single" w:color="auto" w:sz="6" w:space="0"/>
              <w:left w:val="single" w:color="auto" w:sz="6" w:space="0"/>
              <w:bottom w:val="single" w:color="auto" w:sz="6" w:space="0"/>
              <w:right w:val="single" w:color="auto" w:sz="6" w:space="0"/>
            </w:tcBorders>
          </w:tcPr>
          <w:p>
            <w:pPr>
              <w:rPr>
                <w:color w:val="000000" w:themeColor="text1"/>
                <w:kern w:val="0"/>
                <w:szCs w:val="21"/>
              </w:rPr>
            </w:pPr>
            <w:r>
              <w:rPr>
                <w:color w:val="000000" w:themeColor="text1"/>
                <w:szCs w:val="21"/>
              </w:rPr>
              <w:t>《中华人民共和国安全生产法》（中华人民共和国主席令第八十八号）</w:t>
            </w:r>
            <w:r>
              <w:rPr>
                <w:color w:val="000000" w:themeColor="text1"/>
                <w:kern w:val="0"/>
                <w:szCs w:val="21"/>
              </w:rPr>
              <w:t>第四十四条</w:t>
            </w:r>
          </w:p>
        </w:tc>
        <w:tc>
          <w:tcPr>
            <w:tcW w:w="2689"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szCs w:val="21"/>
              </w:rPr>
              <w:t>该公司安排了相应的经费投入。</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szCs w:val="21"/>
              </w:rPr>
              <w:t>符合</w:t>
            </w:r>
          </w:p>
        </w:tc>
      </w:tr>
      <w:tr>
        <w:tblPrEx>
          <w:tblCellMar>
            <w:top w:w="0" w:type="dxa"/>
            <w:left w:w="108" w:type="dxa"/>
            <w:bottom w:w="0" w:type="dxa"/>
            <w:right w:w="108" w:type="dxa"/>
          </w:tblCellMar>
        </w:tblPrEx>
        <w:trPr>
          <w:trHeight w:val="454" w:hRule="atLeast"/>
          <w:jc w:val="center"/>
        </w:trPr>
        <w:tc>
          <w:tcPr>
            <w:tcW w:w="9401" w:type="dxa"/>
            <w:gridSpan w:val="5"/>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lang w:val="zh-CN"/>
              </w:rPr>
            </w:pPr>
            <w:r>
              <w:rPr>
                <w:color w:val="000000" w:themeColor="text1"/>
                <w:szCs w:val="21"/>
                <w:lang w:val="zh-CN"/>
              </w:rPr>
              <w:t>其</w:t>
            </w:r>
            <w:r>
              <w:rPr>
                <w:b/>
                <w:bCs/>
                <w:color w:val="000000" w:themeColor="text1"/>
                <w:szCs w:val="21"/>
                <w:lang w:val="zh-CN"/>
              </w:rPr>
              <w:t>它方面的管理</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8"/>
              </w:numPr>
              <w:ind w:firstLine="0"/>
              <w:rPr>
                <w:color w:val="000000" w:themeColor="text1"/>
                <w:kern w:val="0"/>
                <w:szCs w:val="21"/>
              </w:rPr>
            </w:pPr>
            <w:bookmarkStart w:id="1913" w:name="_Toc17030"/>
            <w:bookmarkStart w:id="1914" w:name="_Toc23398"/>
          </w:p>
        </w:tc>
        <w:tc>
          <w:tcPr>
            <w:tcW w:w="3104"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kern w:val="0"/>
                <w:szCs w:val="21"/>
              </w:rPr>
              <w:t>安全设备的设计、制造、安装、使用、检测、维修、改造和报废，应当符合国家标准或者行业标准。</w:t>
            </w:r>
          </w:p>
          <w:p>
            <w:pPr>
              <w:rPr>
                <w:color w:val="000000" w:themeColor="text1"/>
                <w:kern w:val="0"/>
                <w:szCs w:val="21"/>
              </w:rPr>
            </w:pPr>
            <w:r>
              <w:rPr>
                <w:color w:val="000000" w:themeColor="text1"/>
                <w:kern w:val="0"/>
                <w:szCs w:val="21"/>
              </w:rPr>
              <w:t>生产经营单位必须对安全设备进行经常性维护、保养，并定期检测，保证正常运转。维护、保养、检测应当作好记录，并由有关人员签字。</w:t>
            </w:r>
          </w:p>
          <w:p>
            <w:pPr>
              <w:rPr>
                <w:color w:val="000000" w:themeColor="text1"/>
                <w:kern w:val="0"/>
                <w:szCs w:val="21"/>
              </w:rPr>
            </w:pPr>
            <w:r>
              <w:rPr>
                <w:color w:val="000000" w:themeColor="text1"/>
                <w:kern w:val="0"/>
                <w:szCs w:val="21"/>
              </w:rPr>
              <w:t>生产经营单位不得关闭、破坏直接关系生产安全的监控、报警、防护、救生设备、设施，或者篡改、隐瞒、销毁其相关数据、信息。</w:t>
            </w:r>
          </w:p>
          <w:p>
            <w:pPr>
              <w:rPr>
                <w:color w:val="000000" w:themeColor="text1"/>
                <w:szCs w:val="21"/>
                <w:lang w:val="zh-CN"/>
              </w:rPr>
            </w:pPr>
            <w:r>
              <w:rPr>
                <w:color w:val="000000" w:themeColor="text1"/>
                <w:kern w:val="0"/>
                <w:szCs w:val="21"/>
              </w:rPr>
              <w:t>餐饮等行业的生产经营单位使用燃气的，应当安装可燃气体报警装置，并保障其正常使用。</w:t>
            </w:r>
          </w:p>
        </w:tc>
        <w:tc>
          <w:tcPr>
            <w:tcW w:w="2193" w:type="dxa"/>
            <w:tcBorders>
              <w:top w:val="single" w:color="auto" w:sz="6" w:space="0"/>
              <w:left w:val="single" w:color="auto" w:sz="6" w:space="0"/>
              <w:bottom w:val="single" w:color="auto" w:sz="6" w:space="0"/>
              <w:right w:val="single" w:color="auto" w:sz="6" w:space="0"/>
            </w:tcBorders>
            <w:vAlign w:val="center"/>
          </w:tcPr>
          <w:p>
            <w:pPr>
              <w:widowControl/>
              <w:jc w:val="center"/>
              <w:rPr>
                <w:color w:val="000000" w:themeColor="text1"/>
                <w:szCs w:val="21"/>
                <w:lang w:val="zh-CN"/>
              </w:rPr>
            </w:pPr>
            <w:r>
              <w:rPr>
                <w:color w:val="000000" w:themeColor="text1"/>
                <w:szCs w:val="21"/>
              </w:rPr>
              <w:t>《中华人民共和国安全生产法》（中华人民共和国主席令第八十八号）</w:t>
            </w:r>
            <w:r>
              <w:rPr>
                <w:color w:val="000000" w:themeColor="text1"/>
                <w:kern w:val="0"/>
                <w:szCs w:val="21"/>
              </w:rPr>
              <w:t>第三十六条</w:t>
            </w:r>
          </w:p>
        </w:tc>
        <w:tc>
          <w:tcPr>
            <w:tcW w:w="2689"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lang w:val="zh-CN"/>
              </w:rPr>
            </w:pPr>
            <w:r>
              <w:rPr>
                <w:color w:val="000000" w:themeColor="text1"/>
                <w:kern w:val="0"/>
                <w:szCs w:val="21"/>
              </w:rPr>
              <w:t>根据业主提供的安全检查记录等资料，</w:t>
            </w:r>
            <w:r>
              <w:rPr>
                <w:color w:val="000000" w:themeColor="text1"/>
                <w:kern w:val="0"/>
                <w:szCs w:val="21"/>
                <w:lang w:val="zh-CN"/>
              </w:rPr>
              <w:t>能够做到经常性维护、保养，并定期检测</w:t>
            </w:r>
            <w:r>
              <w:rPr>
                <w:color w:val="000000" w:themeColor="text1"/>
                <w:szCs w:val="21"/>
                <w:lang w:val="zh-CN"/>
              </w:rPr>
              <w:t>。</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lang w:val="zh-CN"/>
              </w:rPr>
            </w:pPr>
            <w:r>
              <w:rPr>
                <w:color w:val="000000" w:themeColor="text1"/>
                <w:szCs w:val="21"/>
                <w:lang w:val="zh-CN"/>
              </w:rPr>
              <w:t>符合</w:t>
            </w:r>
          </w:p>
        </w:tc>
      </w:tr>
      <w:tr>
        <w:tblPrEx>
          <w:tblCellMar>
            <w:top w:w="0" w:type="dxa"/>
            <w:left w:w="108" w:type="dxa"/>
            <w:bottom w:w="0" w:type="dxa"/>
            <w:right w:w="108" w:type="dxa"/>
          </w:tblCellMar>
        </w:tblPrEx>
        <w:trPr>
          <w:trHeight w:val="454" w:hRule="atLeast"/>
          <w:jc w:val="center"/>
        </w:trPr>
        <w:tc>
          <w:tcPr>
            <w:tcW w:w="702" w:type="dxa"/>
            <w:tcBorders>
              <w:top w:val="single" w:color="auto" w:sz="6" w:space="0"/>
              <w:left w:val="single" w:color="auto" w:sz="6" w:space="0"/>
              <w:bottom w:val="single" w:color="auto" w:sz="6" w:space="0"/>
              <w:right w:val="single" w:color="auto" w:sz="6" w:space="0"/>
            </w:tcBorders>
            <w:vAlign w:val="center"/>
          </w:tcPr>
          <w:p>
            <w:pPr>
              <w:numPr>
                <w:ilvl w:val="0"/>
                <w:numId w:val="28"/>
              </w:numPr>
              <w:ind w:firstLine="0"/>
              <w:rPr>
                <w:color w:val="000000" w:themeColor="text1"/>
                <w:kern w:val="0"/>
                <w:szCs w:val="21"/>
              </w:rPr>
            </w:pPr>
          </w:p>
        </w:tc>
        <w:tc>
          <w:tcPr>
            <w:tcW w:w="3104"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kern w:val="0"/>
                <w:szCs w:val="21"/>
              </w:rPr>
              <w:t>生产经营单位必须为从业人员提供符合国家标准或者行业标准的劳动防护用品，并监督、教育从业人员按照使用规则佩戴、使用。</w:t>
            </w:r>
          </w:p>
        </w:tc>
        <w:tc>
          <w:tcPr>
            <w:tcW w:w="2193" w:type="dxa"/>
            <w:tcBorders>
              <w:top w:val="single" w:color="auto" w:sz="6" w:space="0"/>
              <w:left w:val="single" w:color="auto" w:sz="6" w:space="0"/>
              <w:bottom w:val="single" w:color="auto" w:sz="6" w:space="0"/>
              <w:right w:val="single" w:color="auto" w:sz="6" w:space="0"/>
            </w:tcBorders>
            <w:vAlign w:val="center"/>
          </w:tcPr>
          <w:p>
            <w:pPr>
              <w:widowControl/>
              <w:jc w:val="center"/>
              <w:rPr>
                <w:color w:val="000000" w:themeColor="text1"/>
                <w:kern w:val="0"/>
                <w:szCs w:val="21"/>
              </w:rPr>
            </w:pPr>
            <w:r>
              <w:rPr>
                <w:color w:val="000000" w:themeColor="text1"/>
                <w:szCs w:val="21"/>
              </w:rPr>
              <w:t>《中华人民共和国安全生产法》（中华人民共和国主席令第八十八号）</w:t>
            </w:r>
            <w:r>
              <w:rPr>
                <w:color w:val="000000" w:themeColor="text1"/>
                <w:kern w:val="0"/>
                <w:szCs w:val="21"/>
              </w:rPr>
              <w:t>第四十二条</w:t>
            </w:r>
          </w:p>
        </w:tc>
        <w:tc>
          <w:tcPr>
            <w:tcW w:w="2689" w:type="dxa"/>
            <w:tcBorders>
              <w:top w:val="single" w:color="auto" w:sz="6" w:space="0"/>
              <w:left w:val="single" w:color="auto" w:sz="6" w:space="0"/>
              <w:bottom w:val="single" w:color="auto" w:sz="6" w:space="0"/>
              <w:right w:val="single" w:color="auto" w:sz="6" w:space="0"/>
            </w:tcBorders>
            <w:vAlign w:val="center"/>
          </w:tcPr>
          <w:p>
            <w:pPr>
              <w:rPr>
                <w:color w:val="000000" w:themeColor="text1"/>
                <w:kern w:val="0"/>
                <w:szCs w:val="21"/>
              </w:rPr>
            </w:pPr>
            <w:r>
              <w:rPr>
                <w:color w:val="000000" w:themeColor="text1"/>
                <w:kern w:val="0"/>
                <w:szCs w:val="21"/>
              </w:rPr>
              <w:t>公司为从业人员提供了相应的劳动防护用品，</w:t>
            </w:r>
            <w:r>
              <w:rPr>
                <w:rFonts w:hint="eastAsia"/>
                <w:color w:val="000000" w:themeColor="text1"/>
                <w:kern w:val="0"/>
                <w:szCs w:val="21"/>
              </w:rPr>
              <w:t>但</w:t>
            </w:r>
            <w:r>
              <w:rPr>
                <w:rFonts w:hint="eastAsia" w:eastAsiaTheme="minorEastAsia"/>
                <w:color w:val="000000" w:themeColor="text1"/>
                <w:szCs w:val="21"/>
              </w:rPr>
              <w:t>现场检查工作人员未穿戴防静电工作服进行作业</w:t>
            </w:r>
            <w:r>
              <w:rPr>
                <w:color w:val="000000" w:themeColor="text1"/>
                <w:kern w:val="0"/>
                <w:szCs w:val="21"/>
              </w:rPr>
              <w:t>。</w:t>
            </w:r>
          </w:p>
        </w:tc>
        <w:tc>
          <w:tcPr>
            <w:tcW w:w="713" w:type="dxa"/>
            <w:tcBorders>
              <w:top w:val="single" w:color="auto" w:sz="6" w:space="0"/>
              <w:left w:val="single" w:color="auto" w:sz="6" w:space="0"/>
              <w:bottom w:val="single" w:color="auto" w:sz="6" w:space="0"/>
              <w:right w:val="single" w:color="auto" w:sz="6" w:space="0"/>
            </w:tcBorders>
            <w:vAlign w:val="center"/>
          </w:tcPr>
          <w:p>
            <w:pPr>
              <w:rPr>
                <w:color w:val="000000" w:themeColor="text1"/>
                <w:szCs w:val="21"/>
                <w:lang w:val="zh-CN"/>
              </w:rPr>
            </w:pPr>
            <w:r>
              <w:rPr>
                <w:rFonts w:hint="eastAsia"/>
                <w:color w:val="000000" w:themeColor="text1"/>
                <w:szCs w:val="21"/>
              </w:rPr>
              <w:t>不</w:t>
            </w:r>
            <w:r>
              <w:rPr>
                <w:color w:val="000000" w:themeColor="text1"/>
                <w:szCs w:val="21"/>
                <w:lang w:val="zh-CN"/>
              </w:rPr>
              <w:t>符合</w:t>
            </w:r>
          </w:p>
        </w:tc>
      </w:tr>
      <w:bookmarkEnd w:id="1913"/>
      <w:bookmarkEnd w:id="1914"/>
    </w:tbl>
    <w:p>
      <w:pPr>
        <w:pStyle w:val="19"/>
        <w:spacing w:afterLines="100" w:line="500" w:lineRule="exact"/>
        <w:rPr>
          <w:rFonts w:ascii="黑体" w:hAnsi="宋体" w:eastAsia="黑体"/>
          <w:color w:val="000000" w:themeColor="text1"/>
          <w:kern w:val="3"/>
          <w:sz w:val="28"/>
          <w:szCs w:val="28"/>
        </w:rPr>
      </w:pPr>
      <w:bookmarkStart w:id="1915" w:name="_Toc32482"/>
      <w:bookmarkStart w:id="1916" w:name="_Toc260"/>
      <w:bookmarkStart w:id="1917" w:name="_Toc14007"/>
      <w:bookmarkStart w:id="1918" w:name="_Toc2301"/>
      <w:bookmarkStart w:id="1919" w:name="_Toc13168"/>
      <w:bookmarkStart w:id="1920" w:name="_Toc22670"/>
      <w:bookmarkStart w:id="1921" w:name="_Toc19029"/>
      <w:bookmarkStart w:id="1922" w:name="_Toc20604"/>
      <w:bookmarkStart w:id="1923" w:name="_Toc24627"/>
      <w:bookmarkStart w:id="1924" w:name="_Toc14372"/>
      <w:r>
        <w:rPr>
          <w:rFonts w:hint="eastAsia" w:ascii="黑体" w:hAnsi="宋体" w:eastAsia="黑体"/>
          <w:color w:val="000000" w:themeColor="text1"/>
          <w:kern w:val="3"/>
          <w:sz w:val="28"/>
          <w:szCs w:val="28"/>
        </w:rPr>
        <w:t>5.7.2评价单元小结</w:t>
      </w:r>
      <w:bookmarkEnd w:id="1915"/>
      <w:bookmarkEnd w:id="1916"/>
      <w:bookmarkEnd w:id="1917"/>
      <w:bookmarkEnd w:id="1918"/>
      <w:bookmarkEnd w:id="1919"/>
      <w:bookmarkEnd w:id="1920"/>
      <w:bookmarkEnd w:id="1921"/>
      <w:bookmarkEnd w:id="1922"/>
      <w:bookmarkEnd w:id="1923"/>
      <w:bookmarkEnd w:id="1924"/>
    </w:p>
    <w:p>
      <w:pPr>
        <w:spacing w:line="500" w:lineRule="exact"/>
        <w:ind w:firstLine="560" w:firstLineChars="200"/>
        <w:rPr>
          <w:color w:val="000000" w:themeColor="text1"/>
          <w:sz w:val="28"/>
          <w:szCs w:val="28"/>
        </w:rPr>
      </w:pPr>
      <w:bookmarkStart w:id="1925" w:name="_Toc28516"/>
      <w:r>
        <w:rPr>
          <w:color w:val="000000" w:themeColor="text1"/>
          <w:sz w:val="28"/>
          <w:szCs w:val="28"/>
        </w:rPr>
        <w:t>由上述安全检查表可知：该项目的</w:t>
      </w:r>
      <w:r>
        <w:rPr>
          <w:rFonts w:hint="eastAsia"/>
          <w:color w:val="000000" w:themeColor="text1"/>
          <w:sz w:val="28"/>
          <w:szCs w:val="28"/>
        </w:rPr>
        <w:t>工作人员未穿戴防静电工作服进行作业外</w:t>
      </w:r>
      <w:r>
        <w:rPr>
          <w:color w:val="000000" w:themeColor="text1"/>
          <w:sz w:val="28"/>
          <w:szCs w:val="28"/>
        </w:rPr>
        <w:t>，</w:t>
      </w:r>
      <w:r>
        <w:rPr>
          <w:rFonts w:hint="eastAsia"/>
          <w:color w:val="000000" w:themeColor="text1"/>
          <w:sz w:val="28"/>
          <w:szCs w:val="28"/>
        </w:rPr>
        <w:t>其余均符合</w:t>
      </w:r>
      <w:r>
        <w:rPr>
          <w:color w:val="000000" w:themeColor="text1"/>
          <w:sz w:val="28"/>
          <w:szCs w:val="28"/>
        </w:rPr>
        <w:t>《中华人民共和国安全生产法》（中华人民共和国主席令第八十八号）、《生产经营单位安全培训规定》（国家安全生产监督管理总局令第3号，根据2013年8月29日国家安全监管总局令第63号第一次修正，根据2015年5月29日国家安全生产监管总局令第80号第二次修正）、《生产安全事故应急预案管理办法》（根据2019年6月24日《应急管理部关于修改〈生产安全事故应急预案管理办法〉的决定》修订，自2019年9月1日起实施）</w:t>
      </w:r>
      <w:r>
        <w:rPr>
          <w:rStyle w:val="59"/>
          <w:rFonts w:hint="eastAsia"/>
          <w:color w:val="000000" w:themeColor="text1"/>
        </w:rPr>
        <w:t>、</w:t>
      </w:r>
      <w:r>
        <w:rPr>
          <w:color w:val="000000" w:themeColor="text1"/>
          <w:sz w:val="28"/>
          <w:szCs w:val="28"/>
        </w:rPr>
        <w:t>《云南省安全生产条例》等法律法规、标准规范的相关要求</w:t>
      </w:r>
      <w:r>
        <w:rPr>
          <w:rFonts w:hint="eastAsia"/>
          <w:color w:val="000000" w:themeColor="text1"/>
          <w:sz w:val="28"/>
          <w:szCs w:val="28"/>
        </w:rPr>
        <w:t>。</w:t>
      </w:r>
    </w:p>
    <w:p>
      <w:pPr>
        <w:pStyle w:val="19"/>
        <w:spacing w:afterLines="100" w:line="500" w:lineRule="exact"/>
        <w:jc w:val="center"/>
        <w:rPr>
          <w:rFonts w:ascii="楷体_GB2312" w:hAnsi="宋体" w:eastAsia="楷体_GB2312"/>
          <w:color w:val="000000" w:themeColor="text1"/>
          <w:kern w:val="3"/>
        </w:rPr>
      </w:pPr>
      <w:bookmarkStart w:id="1926" w:name="_Toc13393_WPSOffice_Level2"/>
      <w:bookmarkStart w:id="1927" w:name="_Toc28212"/>
      <w:bookmarkStart w:id="1928" w:name="_Toc15776"/>
      <w:bookmarkStart w:id="1929" w:name="_Toc30135"/>
      <w:bookmarkStart w:id="1930" w:name="_Toc2659"/>
      <w:bookmarkStart w:id="1931" w:name="_Toc21684"/>
      <w:bookmarkStart w:id="1932" w:name="_Toc2991"/>
      <w:bookmarkStart w:id="1933" w:name="_Toc28027"/>
      <w:bookmarkStart w:id="1934" w:name="_Toc15420"/>
      <w:r>
        <w:rPr>
          <w:rFonts w:hint="eastAsia" w:ascii="楷体_GB2312" w:hAnsi="宋体" w:eastAsia="楷体_GB2312"/>
          <w:color w:val="000000" w:themeColor="text1"/>
          <w:kern w:val="3"/>
        </w:rPr>
        <w:t>5.8</w:t>
      </w:r>
      <w:bookmarkEnd w:id="1926"/>
      <w:bookmarkEnd w:id="1927"/>
      <w:bookmarkEnd w:id="1928"/>
      <w:bookmarkEnd w:id="1929"/>
      <w:bookmarkEnd w:id="1930"/>
      <w:bookmarkEnd w:id="1931"/>
      <w:bookmarkEnd w:id="1932"/>
      <w:bookmarkEnd w:id="1933"/>
      <w:bookmarkEnd w:id="1934"/>
      <w:r>
        <w:rPr>
          <w:rFonts w:hint="eastAsia" w:ascii="楷体_GB2312" w:hAnsi="宋体" w:eastAsia="楷体_GB2312"/>
          <w:color w:val="000000"/>
          <w:kern w:val="3"/>
        </w:rPr>
        <w:t>重大隐患判定及安全经营条件单元</w:t>
      </w:r>
    </w:p>
    <w:p>
      <w:pPr>
        <w:pStyle w:val="19"/>
        <w:spacing w:afterLines="100" w:line="500" w:lineRule="exact"/>
        <w:rPr>
          <w:rFonts w:hint="eastAsia" w:ascii="黑体" w:hAnsi="宋体" w:eastAsia="黑体"/>
          <w:color w:val="000000" w:themeColor="text1"/>
          <w:kern w:val="3"/>
          <w:sz w:val="28"/>
          <w:szCs w:val="28"/>
        </w:rPr>
      </w:pPr>
      <w:bookmarkStart w:id="1935" w:name="_Toc14209"/>
      <w:bookmarkStart w:id="1936" w:name="_Toc11123"/>
      <w:bookmarkStart w:id="1937" w:name="_Toc27139"/>
      <w:bookmarkStart w:id="1938" w:name="_Toc13208"/>
      <w:bookmarkStart w:id="1939" w:name="_Toc4395"/>
      <w:bookmarkStart w:id="1940" w:name="_Toc25789"/>
      <w:bookmarkStart w:id="1941" w:name="_Toc7145"/>
      <w:bookmarkStart w:id="1942" w:name="_Toc18778"/>
      <w:r>
        <w:rPr>
          <w:rFonts w:hint="eastAsia" w:ascii="黑体" w:hAnsi="宋体" w:eastAsia="黑体"/>
          <w:color w:val="000000" w:themeColor="text1"/>
          <w:kern w:val="3"/>
          <w:sz w:val="28"/>
          <w:szCs w:val="28"/>
        </w:rPr>
        <w:t>5.8.1安全经营条件及重大生产安全事故隐患检查表</w:t>
      </w:r>
      <w:bookmarkEnd w:id="1935"/>
      <w:bookmarkEnd w:id="1936"/>
      <w:bookmarkEnd w:id="1937"/>
      <w:bookmarkEnd w:id="1938"/>
      <w:bookmarkEnd w:id="1939"/>
      <w:bookmarkEnd w:id="1940"/>
      <w:bookmarkEnd w:id="1941"/>
      <w:bookmarkEnd w:id="1942"/>
    </w:p>
    <w:p>
      <w:pPr>
        <w:pStyle w:val="51"/>
        <w:rPr>
          <w:rFonts w:ascii="Times New Roman" w:hAnsi="Times New Roman"/>
          <w:color w:val="000000" w:themeColor="text1"/>
          <w:kern w:val="2"/>
          <w:szCs w:val="28"/>
        </w:rPr>
      </w:pPr>
      <w:r>
        <w:rPr>
          <w:rFonts w:hint="eastAsia"/>
          <w:sz w:val="28"/>
          <w:szCs w:val="28"/>
        </w:rPr>
        <w:t>本单元主要依据《危险化学品经营许可证管理办法》（国家安全生产监督管理总局令第55号）、《云南省安全生产监督管理局关于危险化学品经营行政许可有关事项的通知》（云安监管〔2013〕13号）及《化工和危险化学品生产经营单位重大生产安全事故隐患判定标准（试行）》（安监总管三〔2017〕121号）编制安全检查表进行评价。</w:t>
      </w:r>
      <w:r>
        <w:rPr>
          <w:rFonts w:hint="eastAsia" w:ascii="宋体" w:hAnsi="宋体" w:cs="宋体"/>
          <w:sz w:val="28"/>
          <w:szCs w:val="28"/>
        </w:rPr>
        <w:t>对照检查该</w:t>
      </w:r>
      <w:r>
        <w:rPr>
          <w:rFonts w:hint="eastAsia" w:cs="宋体"/>
          <w:sz w:val="28"/>
          <w:szCs w:val="28"/>
          <w:lang w:val="en-US" w:eastAsia="zh-CN"/>
        </w:rPr>
        <w:t>公司</w:t>
      </w:r>
      <w:r>
        <w:rPr>
          <w:rFonts w:hint="eastAsia" w:ascii="宋体" w:hAnsi="宋体" w:cs="宋体"/>
          <w:sz w:val="28"/>
          <w:szCs w:val="28"/>
        </w:rPr>
        <w:t>安全经营条件是否符合要求，是否存在重大生产安全事故隐患</w:t>
      </w:r>
      <w:r>
        <w:rPr>
          <w:rFonts w:ascii="Times New Roman" w:hAnsi="Times New Roman"/>
          <w:color w:val="000000" w:themeColor="text1"/>
          <w:kern w:val="2"/>
          <w:szCs w:val="28"/>
        </w:rPr>
        <w:t>：</w:t>
      </w:r>
    </w:p>
    <w:p>
      <w:pPr>
        <w:snapToGrid w:val="0"/>
        <w:spacing w:line="500" w:lineRule="exact"/>
        <w:jc w:val="center"/>
        <w:rPr>
          <w:rFonts w:hint="eastAsia" w:eastAsiaTheme="minorEastAsia"/>
          <w:bCs/>
          <w:color w:val="000000" w:themeColor="text1"/>
          <w:sz w:val="24"/>
        </w:rPr>
      </w:pPr>
      <w:r>
        <w:rPr>
          <w:rFonts w:eastAsiaTheme="minorEastAsia"/>
          <w:bCs/>
          <w:color w:val="000000" w:themeColor="text1"/>
          <w:sz w:val="24"/>
        </w:rPr>
        <w:t>表5-1</w:t>
      </w:r>
      <w:r>
        <w:rPr>
          <w:rFonts w:hint="eastAsia" w:eastAsiaTheme="minorEastAsia"/>
          <w:bCs/>
          <w:color w:val="000000" w:themeColor="text1"/>
          <w:sz w:val="24"/>
        </w:rPr>
        <w:t>4</w:t>
      </w:r>
      <w:r>
        <w:rPr>
          <w:rFonts w:eastAsiaTheme="minorEastAsia"/>
          <w:bCs/>
          <w:color w:val="000000" w:themeColor="text1"/>
          <w:sz w:val="24"/>
        </w:rPr>
        <w:t xml:space="preserve"> </w:t>
      </w:r>
      <w:bookmarkStart w:id="1943" w:name="_Toc13911"/>
      <w:bookmarkStart w:id="1944" w:name="_Toc24822"/>
      <w:bookmarkStart w:id="1945" w:name="_Toc3814"/>
      <w:bookmarkStart w:id="1946" w:name="_Toc2142"/>
      <w:bookmarkStart w:id="1947" w:name="_Toc17589"/>
      <w:bookmarkStart w:id="1948" w:name="_Toc20732"/>
      <w:bookmarkStart w:id="1949" w:name="_Toc4145"/>
      <w:bookmarkStart w:id="1950" w:name="_Toc25164"/>
      <w:r>
        <w:rPr>
          <w:rFonts w:hint="eastAsia" w:eastAsiaTheme="minorEastAsia"/>
          <w:bCs/>
          <w:color w:val="000000" w:themeColor="text1"/>
          <w:sz w:val="24"/>
        </w:rPr>
        <w:t>安全经营条件及重大生产安全事故隐患检查表</w:t>
      </w:r>
    </w:p>
    <w:tbl>
      <w:tblPr>
        <w:tblStyle w:val="52"/>
        <w:tblW w:w="927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96"/>
        <w:gridCol w:w="3581"/>
        <w:gridCol w:w="1843"/>
        <w:gridCol w:w="2394"/>
        <w:gridCol w:w="9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trPr>
        <w:tc>
          <w:tcPr>
            <w:tcW w:w="496" w:type="dxa"/>
            <w:noWrap w:val="0"/>
            <w:vAlign w:val="center"/>
          </w:tcPr>
          <w:p>
            <w:pPr>
              <w:rPr>
                <w:rFonts w:hint="eastAsia" w:ascii="宋体" w:hAnsi="宋体" w:cs="宋体"/>
                <w:b/>
                <w:bCs/>
                <w:szCs w:val="21"/>
              </w:rPr>
            </w:pPr>
            <w:r>
              <w:rPr>
                <w:rFonts w:hint="eastAsia" w:ascii="宋体" w:hAnsi="宋体" w:cs="宋体"/>
                <w:b/>
                <w:bCs/>
                <w:szCs w:val="21"/>
              </w:rPr>
              <w:t>序号</w:t>
            </w:r>
          </w:p>
        </w:tc>
        <w:tc>
          <w:tcPr>
            <w:tcW w:w="3581" w:type="dxa"/>
            <w:noWrap w:val="0"/>
            <w:vAlign w:val="center"/>
          </w:tcPr>
          <w:p>
            <w:pPr>
              <w:jc w:val="center"/>
              <w:rPr>
                <w:rFonts w:hint="eastAsia" w:ascii="宋体" w:hAnsi="宋体" w:cs="宋体"/>
                <w:b/>
                <w:bCs/>
                <w:szCs w:val="21"/>
              </w:rPr>
            </w:pPr>
            <w:r>
              <w:rPr>
                <w:rFonts w:hint="eastAsia" w:ascii="宋体" w:hAnsi="宋体" w:cs="宋体"/>
                <w:b/>
                <w:bCs/>
                <w:szCs w:val="21"/>
              </w:rPr>
              <w:t>检查内容</w:t>
            </w:r>
          </w:p>
        </w:tc>
        <w:tc>
          <w:tcPr>
            <w:tcW w:w="1843" w:type="dxa"/>
            <w:noWrap w:val="0"/>
            <w:vAlign w:val="center"/>
          </w:tcPr>
          <w:p>
            <w:pPr>
              <w:jc w:val="center"/>
              <w:rPr>
                <w:rFonts w:hint="eastAsia" w:ascii="宋体" w:hAnsi="宋体" w:cs="宋体"/>
                <w:b/>
                <w:bCs/>
                <w:szCs w:val="21"/>
              </w:rPr>
            </w:pPr>
            <w:r>
              <w:rPr>
                <w:rFonts w:hint="eastAsia" w:ascii="宋体" w:hAnsi="宋体" w:cs="宋体"/>
                <w:b/>
                <w:bCs/>
                <w:szCs w:val="21"/>
              </w:rPr>
              <w:t>检查依据</w:t>
            </w:r>
          </w:p>
        </w:tc>
        <w:tc>
          <w:tcPr>
            <w:tcW w:w="2394" w:type="dxa"/>
            <w:noWrap w:val="0"/>
            <w:vAlign w:val="center"/>
          </w:tcPr>
          <w:p>
            <w:pPr>
              <w:jc w:val="center"/>
              <w:rPr>
                <w:rFonts w:hint="eastAsia" w:ascii="宋体" w:hAnsi="宋体" w:cs="宋体"/>
                <w:b/>
                <w:bCs/>
                <w:szCs w:val="21"/>
              </w:rPr>
            </w:pPr>
            <w:r>
              <w:rPr>
                <w:rFonts w:hint="eastAsia" w:ascii="宋体" w:hAnsi="宋体" w:cs="宋体"/>
                <w:b/>
                <w:bCs/>
                <w:szCs w:val="21"/>
              </w:rPr>
              <w:t>检查记录</w:t>
            </w:r>
          </w:p>
        </w:tc>
        <w:tc>
          <w:tcPr>
            <w:tcW w:w="960" w:type="dxa"/>
            <w:noWrap w:val="0"/>
            <w:vAlign w:val="center"/>
          </w:tcPr>
          <w:p>
            <w:pPr>
              <w:rPr>
                <w:rFonts w:hint="eastAsia" w:ascii="宋体" w:hAnsi="宋体" w:cs="宋体"/>
                <w:b/>
                <w:bCs/>
                <w:szCs w:val="21"/>
              </w:rPr>
            </w:pPr>
            <w:r>
              <w:rPr>
                <w:rFonts w:hint="eastAsia" w:ascii="宋体" w:hAnsi="宋体" w:cs="宋体"/>
                <w:b/>
                <w:bCs/>
                <w:szCs w:val="21"/>
              </w:rPr>
              <w:t>结  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3581" w:type="dxa"/>
            <w:noWrap w:val="0"/>
            <w:vAlign w:val="center"/>
          </w:tcPr>
          <w:p>
            <w:pPr>
              <w:rPr>
                <w:rFonts w:hint="eastAsia" w:ascii="宋体" w:hAnsi="宋体" w:cs="宋体"/>
                <w:szCs w:val="21"/>
              </w:rPr>
            </w:pPr>
            <w:r>
              <w:rPr>
                <w:rFonts w:hint="eastAsia" w:ascii="宋体" w:hAnsi="宋体" w:cs="宋体"/>
                <w:szCs w:val="21"/>
              </w:rPr>
              <w:t>危险化学品生产、经营单位主要负责人和安全生产管理人员未依法经考核合格。</w:t>
            </w:r>
          </w:p>
        </w:tc>
        <w:tc>
          <w:tcPr>
            <w:tcW w:w="1843" w:type="dxa"/>
            <w:vMerge w:val="restart"/>
            <w:noWrap w:val="0"/>
            <w:vAlign w:val="center"/>
          </w:tcPr>
          <w:p>
            <w:pPr>
              <w:pStyle w:val="119"/>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《化工和危险化学品生产经营单位重大生产安全事故隐患判定标准（试行）》、《危险化学品经营许可证管理办法》（国家安监总局令第55号公布，第79号修正，自2015年７月１日起施行）</w:t>
            </w:r>
          </w:p>
        </w:tc>
        <w:tc>
          <w:tcPr>
            <w:tcW w:w="2394" w:type="dxa"/>
            <w:noWrap w:val="0"/>
            <w:vAlign w:val="center"/>
          </w:tcPr>
          <w:p>
            <w:pPr>
              <w:pStyle w:val="119"/>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主要负责人和安全管理人员经培训经考核合格。</w:t>
            </w:r>
          </w:p>
        </w:tc>
        <w:tc>
          <w:tcPr>
            <w:tcW w:w="960" w:type="dxa"/>
            <w:noWrap w:val="0"/>
            <w:vAlign w:val="center"/>
          </w:tcPr>
          <w:p>
            <w:pPr>
              <w:pStyle w:val="119"/>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3581" w:type="dxa"/>
            <w:noWrap w:val="0"/>
            <w:vAlign w:val="center"/>
          </w:tcPr>
          <w:p>
            <w:pPr>
              <w:rPr>
                <w:rFonts w:hint="eastAsia" w:ascii="宋体" w:hAnsi="宋体" w:cs="宋体"/>
                <w:szCs w:val="21"/>
              </w:rPr>
            </w:pPr>
            <w:r>
              <w:rPr>
                <w:rFonts w:hint="eastAsia" w:ascii="宋体" w:hAnsi="宋体" w:cs="宋体"/>
                <w:szCs w:val="21"/>
              </w:rPr>
              <w:t>特种作业人员未持证上岗。</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rPr>
              <w:t>该</w:t>
            </w:r>
            <w:r>
              <w:rPr>
                <w:rFonts w:hint="eastAsia" w:ascii="宋体" w:hAnsi="宋体" w:cs="宋体"/>
                <w:szCs w:val="21"/>
                <w:lang w:val="en-US" w:eastAsia="zh-CN"/>
              </w:rPr>
              <w:t>公司</w:t>
            </w:r>
            <w:r>
              <w:rPr>
                <w:rFonts w:hint="eastAsia" w:ascii="宋体" w:hAnsi="宋体" w:cs="宋体"/>
                <w:szCs w:val="21"/>
              </w:rPr>
              <w:t>特种作业涉及检修是电工、焊工等作业，</w:t>
            </w:r>
            <w:r>
              <w:rPr>
                <w:rFonts w:hint="eastAsia" w:ascii="宋体" w:hAnsi="宋体" w:cs="宋体"/>
                <w:szCs w:val="21"/>
                <w:lang w:val="en-US" w:eastAsia="zh-CN"/>
              </w:rPr>
              <w:t>涉及</w:t>
            </w:r>
            <w:r>
              <w:rPr>
                <w:rFonts w:hint="eastAsia" w:ascii="宋体" w:hAnsi="宋体" w:cs="宋体"/>
                <w:szCs w:val="21"/>
              </w:rPr>
              <w:t>特种作业均委托具有资质的单位或人员施工。</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3581" w:type="dxa"/>
            <w:noWrap w:val="0"/>
            <w:vAlign w:val="center"/>
          </w:tcPr>
          <w:p>
            <w:pPr>
              <w:rPr>
                <w:rFonts w:hint="eastAsia" w:ascii="宋体" w:hAnsi="宋体" w:cs="宋体"/>
                <w:szCs w:val="21"/>
              </w:rPr>
            </w:pPr>
            <w:r>
              <w:rPr>
                <w:rFonts w:hint="eastAsia" w:ascii="宋体" w:hAnsi="宋体" w:cs="宋体"/>
                <w:szCs w:val="21"/>
              </w:rPr>
              <w:t>涉及“两重点一重大”的生产装置、储存设施外部安全防护距离不符合国家标准要求。</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jc w:val="left"/>
              <w:rPr>
                <w:rFonts w:hint="eastAsia" w:ascii="宋体" w:hAnsi="宋体" w:cs="宋体"/>
                <w:szCs w:val="21"/>
              </w:rPr>
            </w:pPr>
            <w:r>
              <w:rPr>
                <w:rFonts w:hint="eastAsia" w:ascii="宋体" w:hAnsi="宋体" w:cs="宋体"/>
                <w:szCs w:val="21"/>
              </w:rPr>
              <w:t>外部安全距离符合要求</w:t>
            </w:r>
            <w:r>
              <w:rPr>
                <w:rFonts w:ascii="宋体" w:hAnsi="宋体" w:cs="宋体"/>
                <w:szCs w:val="21"/>
              </w:rPr>
              <w:t>。</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3581" w:type="dxa"/>
            <w:noWrap w:val="0"/>
            <w:vAlign w:val="center"/>
          </w:tcPr>
          <w:p>
            <w:pPr>
              <w:rPr>
                <w:rFonts w:hint="eastAsia" w:ascii="宋体" w:hAnsi="宋体" w:cs="宋体"/>
                <w:szCs w:val="21"/>
              </w:rPr>
            </w:pPr>
            <w:r>
              <w:rPr>
                <w:rFonts w:hint="eastAsia" w:ascii="宋体" w:hAnsi="宋体" w:cs="宋体"/>
                <w:szCs w:val="21"/>
              </w:rPr>
              <w:t>涉及重点监管危险化工工艺的装置未实现自动化控制，系统未实现紧急停车功能，装备的自动化控制系统、紧急停车系统未投入使用。</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jc w:val="center"/>
              <w:rPr>
                <w:rFonts w:hint="eastAsia" w:ascii="宋体" w:hAnsi="宋体" w:cs="宋体"/>
                <w:szCs w:val="21"/>
              </w:rPr>
            </w:pPr>
            <w:r>
              <w:rPr>
                <w:rFonts w:hint="eastAsia" w:ascii="宋体" w:hAnsi="宋体" w:cs="宋体"/>
                <w:szCs w:val="21"/>
              </w:rPr>
              <w:t>不涉及。</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3581" w:type="dxa"/>
            <w:noWrap w:val="0"/>
            <w:vAlign w:val="center"/>
          </w:tcPr>
          <w:p>
            <w:pPr>
              <w:rPr>
                <w:rFonts w:hint="eastAsia" w:ascii="宋体" w:hAnsi="宋体" w:cs="宋体"/>
                <w:szCs w:val="21"/>
              </w:rPr>
            </w:pPr>
            <w:r>
              <w:rPr>
                <w:rFonts w:hint="eastAsia" w:ascii="宋体" w:hAnsi="宋体" w:cs="宋体"/>
                <w:szCs w:val="21"/>
              </w:rPr>
              <w:t>构成一级、二级重大危险源的危险化学品罐区未实现紧急切断功能；涉及毒性气体、液化气体、剧毒液体的一级、二级重大危险源的危险化学品罐区未配备独立的安全仪表系统。</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jc w:val="left"/>
              <w:rPr>
                <w:rFonts w:hint="eastAsia" w:ascii="宋体" w:hAnsi="宋体" w:cs="宋体"/>
                <w:szCs w:val="21"/>
              </w:rPr>
            </w:pPr>
            <w:r>
              <w:rPr>
                <w:rFonts w:hint="eastAsia" w:ascii="宋体" w:hAnsi="宋体" w:cs="宋体"/>
                <w:szCs w:val="21"/>
                <w:lang w:val="en-US" w:eastAsia="zh-CN"/>
              </w:rPr>
              <w:t>未</w:t>
            </w:r>
            <w:r>
              <w:rPr>
                <w:rFonts w:hint="eastAsia" w:ascii="宋体" w:hAnsi="宋体" w:cs="宋体"/>
                <w:szCs w:val="21"/>
              </w:rPr>
              <w:t>构成重大危险源</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3581" w:type="dxa"/>
            <w:noWrap w:val="0"/>
            <w:vAlign w:val="center"/>
          </w:tcPr>
          <w:p>
            <w:pPr>
              <w:rPr>
                <w:rFonts w:hint="eastAsia" w:ascii="宋体" w:hAnsi="宋体" w:cs="宋体"/>
                <w:szCs w:val="21"/>
              </w:rPr>
            </w:pPr>
            <w:r>
              <w:rPr>
                <w:rFonts w:hint="eastAsia" w:ascii="宋体" w:hAnsi="宋体" w:cs="宋体"/>
                <w:szCs w:val="21"/>
              </w:rPr>
              <w:t>全压力式液化烃储罐未按国家标准设置注水措施。</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jc w:val="center"/>
              <w:rPr>
                <w:rFonts w:hint="eastAsia" w:ascii="宋体" w:hAnsi="宋体" w:cs="宋体"/>
                <w:szCs w:val="21"/>
              </w:rPr>
            </w:pPr>
            <w:r>
              <w:rPr>
                <w:rFonts w:hint="eastAsia" w:ascii="宋体" w:hAnsi="宋体" w:cs="宋体"/>
                <w:szCs w:val="21"/>
              </w:rPr>
              <w:t>不涉及。</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3581" w:type="dxa"/>
            <w:noWrap w:val="0"/>
            <w:vAlign w:val="center"/>
          </w:tcPr>
          <w:p>
            <w:pPr>
              <w:rPr>
                <w:rFonts w:hint="eastAsia" w:ascii="宋体" w:hAnsi="宋体" w:cs="宋体"/>
                <w:szCs w:val="21"/>
              </w:rPr>
            </w:pPr>
            <w:r>
              <w:rPr>
                <w:rFonts w:hint="eastAsia" w:ascii="宋体" w:hAnsi="宋体" w:cs="宋体"/>
                <w:szCs w:val="21"/>
              </w:rPr>
              <w:t>液化烃、液氨、液氯等易燃易爆、有毒有害液化气体的充装未使用万向管道充装系统。</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jc w:val="center"/>
              <w:rPr>
                <w:rFonts w:hint="eastAsia" w:ascii="宋体" w:hAnsi="宋体" w:cs="宋体"/>
                <w:szCs w:val="21"/>
              </w:rPr>
            </w:pPr>
            <w:r>
              <w:rPr>
                <w:rFonts w:hint="eastAsia" w:ascii="宋体" w:hAnsi="宋体" w:cs="宋体"/>
                <w:szCs w:val="21"/>
              </w:rPr>
              <w:t>不涉及。</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3581" w:type="dxa"/>
            <w:noWrap w:val="0"/>
            <w:vAlign w:val="center"/>
          </w:tcPr>
          <w:p>
            <w:pPr>
              <w:rPr>
                <w:rFonts w:hint="eastAsia" w:ascii="宋体" w:hAnsi="宋体" w:cs="宋体"/>
                <w:szCs w:val="21"/>
              </w:rPr>
            </w:pPr>
            <w:r>
              <w:rPr>
                <w:rFonts w:hint="eastAsia" w:ascii="宋体" w:hAnsi="宋体" w:cs="宋体"/>
                <w:szCs w:val="21"/>
              </w:rPr>
              <w:t>光气、氯气等剧毒气体及硫化氢气体管道穿越除厂区(包括化工园区、工业园区）外的公共区域。</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jc w:val="center"/>
              <w:rPr>
                <w:rFonts w:hint="eastAsia" w:ascii="宋体" w:hAnsi="宋体" w:cs="宋体"/>
                <w:szCs w:val="21"/>
              </w:rPr>
            </w:pPr>
            <w:r>
              <w:rPr>
                <w:rFonts w:hint="eastAsia" w:ascii="宋体" w:hAnsi="宋体" w:cs="宋体"/>
                <w:szCs w:val="21"/>
              </w:rPr>
              <w:t>不涉及。</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3581" w:type="dxa"/>
            <w:noWrap w:val="0"/>
            <w:vAlign w:val="center"/>
          </w:tcPr>
          <w:p>
            <w:pPr>
              <w:rPr>
                <w:rFonts w:hint="eastAsia" w:ascii="宋体" w:hAnsi="宋体" w:cs="宋体"/>
                <w:szCs w:val="21"/>
              </w:rPr>
            </w:pPr>
            <w:r>
              <w:rPr>
                <w:rFonts w:hint="eastAsia" w:ascii="宋体" w:hAnsi="宋体" w:cs="宋体"/>
                <w:szCs w:val="21"/>
              </w:rPr>
              <w:t>地区架空电力线路穿越生产区且不符合国家标准要求。</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rPr>
              <w:t>地区架空电力线路未穿越</w:t>
            </w:r>
            <w:r>
              <w:rPr>
                <w:rFonts w:hint="eastAsia" w:ascii="宋体" w:hAnsi="宋体" w:cs="宋体"/>
                <w:szCs w:val="21"/>
                <w:lang w:val="en-US" w:eastAsia="zh-CN"/>
              </w:rPr>
              <w:t>公司加注区及储罐区</w:t>
            </w:r>
            <w:r>
              <w:rPr>
                <w:rFonts w:hint="eastAsia" w:ascii="宋体" w:hAnsi="宋体" w:cs="宋体"/>
                <w:szCs w:val="21"/>
              </w:rPr>
              <w:t>。</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3581" w:type="dxa"/>
            <w:noWrap w:val="0"/>
            <w:vAlign w:val="center"/>
          </w:tcPr>
          <w:p>
            <w:pPr>
              <w:rPr>
                <w:rFonts w:hint="eastAsia" w:ascii="宋体" w:hAnsi="宋体" w:cs="宋体"/>
                <w:szCs w:val="21"/>
              </w:rPr>
            </w:pPr>
            <w:r>
              <w:rPr>
                <w:rFonts w:hint="eastAsia" w:ascii="宋体" w:hAnsi="宋体" w:cs="宋体"/>
                <w:szCs w:val="21"/>
              </w:rPr>
              <w:t>在役化工装置未经正规设计且未进行安全设计诊断。</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lang w:val="en-US" w:eastAsia="zh-CN"/>
              </w:rPr>
              <w:t>修建</w:t>
            </w:r>
            <w:r>
              <w:rPr>
                <w:rFonts w:hint="eastAsia" w:ascii="宋体" w:hAnsi="宋体" w:cs="宋体"/>
                <w:szCs w:val="21"/>
              </w:rPr>
              <w:t>时通过有资质的设计单位进行设计。</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11</w:t>
            </w:r>
          </w:p>
        </w:tc>
        <w:tc>
          <w:tcPr>
            <w:tcW w:w="3581" w:type="dxa"/>
            <w:noWrap w:val="0"/>
            <w:vAlign w:val="center"/>
          </w:tcPr>
          <w:p>
            <w:pPr>
              <w:rPr>
                <w:rFonts w:hint="eastAsia" w:ascii="宋体" w:hAnsi="宋体" w:cs="宋体"/>
                <w:szCs w:val="21"/>
              </w:rPr>
            </w:pPr>
            <w:r>
              <w:rPr>
                <w:rFonts w:hint="eastAsia" w:ascii="宋体" w:hAnsi="宋体" w:cs="宋体"/>
                <w:szCs w:val="21"/>
              </w:rPr>
              <w:t>使用淘汰落后安全技术工艺、设备目录列出的工艺、设备。</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rPr>
              <w:t>未使用淘汰落后安全技术工艺、设备目录列出的工艺、设备。</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12</w:t>
            </w:r>
          </w:p>
        </w:tc>
        <w:tc>
          <w:tcPr>
            <w:tcW w:w="3581" w:type="dxa"/>
            <w:noWrap w:val="0"/>
            <w:vAlign w:val="center"/>
          </w:tcPr>
          <w:p>
            <w:pPr>
              <w:rPr>
                <w:rFonts w:hint="eastAsia" w:ascii="宋体" w:hAnsi="宋体" w:cs="宋体"/>
                <w:szCs w:val="21"/>
              </w:rPr>
            </w:pPr>
            <w:r>
              <w:rPr>
                <w:rFonts w:hint="eastAsia" w:ascii="宋体" w:hAnsi="宋体" w:cs="宋体"/>
                <w:szCs w:val="21"/>
              </w:rPr>
              <w:t>涉及可燃和有毒有害气体泄漏的场所未按国家标准设置检测报警装置，爆炸危险场所未按国家标准安装使用防爆电气设备。</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lang w:val="en-US" w:eastAsia="zh-CN"/>
              </w:rPr>
              <w:t>加注机</w:t>
            </w:r>
            <w:r>
              <w:rPr>
                <w:rFonts w:hint="eastAsia" w:ascii="宋体" w:hAnsi="宋体" w:cs="宋体"/>
                <w:szCs w:val="21"/>
              </w:rPr>
              <w:t>、罩棚照明灯为防爆型。</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13</w:t>
            </w:r>
          </w:p>
        </w:tc>
        <w:tc>
          <w:tcPr>
            <w:tcW w:w="3581" w:type="dxa"/>
            <w:noWrap w:val="0"/>
            <w:vAlign w:val="center"/>
          </w:tcPr>
          <w:p>
            <w:pPr>
              <w:rPr>
                <w:rFonts w:hint="eastAsia" w:ascii="宋体" w:hAnsi="宋体" w:cs="宋体"/>
                <w:szCs w:val="21"/>
              </w:rPr>
            </w:pPr>
            <w:r>
              <w:rPr>
                <w:rFonts w:hint="eastAsia" w:ascii="宋体" w:hAnsi="宋体" w:cs="宋体"/>
                <w:szCs w:val="21"/>
              </w:rPr>
              <w:t>控制室或机柜间面向具有火灾、爆炸危险性装置一侧不满足国家标准关于防火防爆的要求。</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lang w:val="en-US" w:eastAsia="zh-CN"/>
              </w:rPr>
              <w:t>办公室</w:t>
            </w:r>
            <w:r>
              <w:rPr>
                <w:rFonts w:hint="eastAsia" w:ascii="宋体" w:hAnsi="宋体" w:cs="宋体"/>
                <w:szCs w:val="21"/>
              </w:rPr>
              <w:t>、配电室面向</w:t>
            </w:r>
            <w:r>
              <w:rPr>
                <w:rFonts w:hint="eastAsia" w:ascii="宋体" w:hAnsi="宋体" w:cs="宋体"/>
                <w:szCs w:val="21"/>
                <w:lang w:val="en-US" w:eastAsia="zh-CN"/>
              </w:rPr>
              <w:t>加注</w:t>
            </w:r>
            <w:r>
              <w:rPr>
                <w:rFonts w:hint="eastAsia" w:ascii="宋体" w:hAnsi="宋体" w:cs="宋体"/>
                <w:szCs w:val="21"/>
              </w:rPr>
              <w:t>区、罐区一侧的设置情况符合规范要求。</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14</w:t>
            </w:r>
          </w:p>
        </w:tc>
        <w:tc>
          <w:tcPr>
            <w:tcW w:w="3581" w:type="dxa"/>
            <w:noWrap w:val="0"/>
            <w:vAlign w:val="center"/>
          </w:tcPr>
          <w:p>
            <w:pPr>
              <w:rPr>
                <w:rFonts w:hint="eastAsia" w:ascii="宋体" w:hAnsi="宋体" w:cs="宋体"/>
                <w:szCs w:val="21"/>
              </w:rPr>
            </w:pPr>
            <w:r>
              <w:rPr>
                <w:rFonts w:hint="eastAsia" w:ascii="宋体" w:hAnsi="宋体" w:cs="宋体"/>
                <w:szCs w:val="21"/>
              </w:rPr>
              <w:t>化工生产装置未按国家标准要求设置双重电源供电，自动化控制系统未设置不间断电源。</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ind w:firstLine="420" w:firstLineChars="200"/>
              <w:rPr>
                <w:rFonts w:hint="eastAsia" w:ascii="宋体" w:hAnsi="宋体" w:cs="宋体"/>
                <w:szCs w:val="21"/>
              </w:rPr>
            </w:pPr>
            <w:r>
              <w:rPr>
                <w:rFonts w:hint="eastAsia" w:ascii="宋体" w:hAnsi="宋体" w:cs="宋体"/>
                <w:szCs w:val="21"/>
              </w:rPr>
              <w:t>不涉及</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3581" w:type="dxa"/>
            <w:noWrap w:val="0"/>
            <w:vAlign w:val="center"/>
          </w:tcPr>
          <w:p>
            <w:pPr>
              <w:rPr>
                <w:rFonts w:hint="eastAsia" w:ascii="宋体" w:hAnsi="宋体" w:cs="宋体"/>
                <w:szCs w:val="21"/>
              </w:rPr>
            </w:pPr>
            <w:r>
              <w:rPr>
                <w:rFonts w:hint="eastAsia" w:ascii="宋体" w:hAnsi="宋体" w:cs="宋体"/>
                <w:szCs w:val="21"/>
              </w:rPr>
              <w:t>安全阀、爆破片等安全附件未正常投用。</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rPr>
              <w:t>呼吸阀、阻火帽等正常。</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16</w:t>
            </w:r>
          </w:p>
        </w:tc>
        <w:tc>
          <w:tcPr>
            <w:tcW w:w="3581" w:type="dxa"/>
            <w:noWrap w:val="0"/>
            <w:vAlign w:val="center"/>
          </w:tcPr>
          <w:p>
            <w:pPr>
              <w:rPr>
                <w:rFonts w:hint="eastAsia" w:ascii="宋体" w:hAnsi="宋体" w:cs="宋体"/>
                <w:szCs w:val="21"/>
              </w:rPr>
            </w:pPr>
            <w:r>
              <w:rPr>
                <w:rFonts w:hint="eastAsia" w:ascii="宋体" w:hAnsi="宋体" w:cs="宋体"/>
                <w:szCs w:val="21"/>
              </w:rPr>
              <w:t>未建立与岗位相匹配的全员安全生产责任制或者未制定实施生产安全事故隐患排查治理制度。</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rPr>
              <w:t>已建立健全安全责任制和隐患排查治理制度。</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17</w:t>
            </w:r>
          </w:p>
        </w:tc>
        <w:tc>
          <w:tcPr>
            <w:tcW w:w="3581" w:type="dxa"/>
            <w:noWrap w:val="0"/>
            <w:vAlign w:val="center"/>
          </w:tcPr>
          <w:p>
            <w:pPr>
              <w:rPr>
                <w:rFonts w:hint="eastAsia" w:ascii="宋体" w:hAnsi="宋体" w:cs="宋体"/>
                <w:szCs w:val="21"/>
              </w:rPr>
            </w:pPr>
            <w:r>
              <w:rPr>
                <w:rFonts w:hint="eastAsia" w:ascii="宋体" w:hAnsi="宋体" w:cs="宋体"/>
                <w:szCs w:val="21"/>
              </w:rPr>
              <w:t>未制定操作规程和工艺控制指标。</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rPr>
              <w:t>制定了安全操作规程。</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c>
          <w:tcPr>
            <w:tcW w:w="3581" w:type="dxa"/>
            <w:noWrap w:val="0"/>
            <w:vAlign w:val="center"/>
          </w:tcPr>
          <w:p>
            <w:pPr>
              <w:rPr>
                <w:rFonts w:hint="eastAsia" w:ascii="宋体" w:hAnsi="宋体" w:cs="宋体"/>
                <w:szCs w:val="21"/>
              </w:rPr>
            </w:pPr>
            <w:r>
              <w:rPr>
                <w:rFonts w:hint="eastAsia" w:ascii="宋体" w:hAnsi="宋体" w:cs="宋体"/>
                <w:szCs w:val="21"/>
              </w:rPr>
              <w:t>未按照国家标准制定动火、进入受限空间等特殊作业管理制度，或者制度未有效执行。</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rPr>
              <w:t>危险作业委托给具有资质的单位施工。已制定动火、进入受限空间等特殊作业管理制度。</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19</w:t>
            </w:r>
          </w:p>
        </w:tc>
        <w:tc>
          <w:tcPr>
            <w:tcW w:w="3581" w:type="dxa"/>
            <w:noWrap w:val="0"/>
            <w:vAlign w:val="center"/>
          </w:tcPr>
          <w:p>
            <w:pPr>
              <w:rPr>
                <w:rFonts w:hint="eastAsia" w:ascii="宋体" w:hAnsi="宋体" w:cs="宋体"/>
                <w:szCs w:val="21"/>
              </w:rPr>
            </w:pPr>
            <w:r>
              <w:rPr>
                <w:rFonts w:hint="eastAsia" w:ascii="宋体" w:hAnsi="宋体" w:cs="宋体"/>
                <w:szCs w:val="21"/>
              </w:rPr>
              <w:t>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w:t>
            </w:r>
            <w:r>
              <w:rPr>
                <w:rFonts w:hint="eastAsia" w:ascii="宋体" w:hAnsi="宋体" w:cs="宋体"/>
                <w:szCs w:val="21"/>
                <w:lang w:eastAsia="zh-CN"/>
              </w:rPr>
              <w:t>评价</w:t>
            </w:r>
            <w:r>
              <w:rPr>
                <w:rFonts w:hint="eastAsia" w:ascii="宋体" w:hAnsi="宋体" w:cs="宋体"/>
                <w:szCs w:val="21"/>
              </w:rPr>
              <w:t>。</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ind w:firstLine="420" w:firstLineChars="200"/>
              <w:rPr>
                <w:rFonts w:hint="eastAsia" w:ascii="宋体" w:hAnsi="宋体" w:cs="宋体"/>
                <w:szCs w:val="21"/>
              </w:rPr>
            </w:pPr>
            <w:r>
              <w:rPr>
                <w:rFonts w:hint="eastAsia" w:ascii="宋体" w:hAnsi="宋体" w:cs="宋体"/>
                <w:szCs w:val="21"/>
              </w:rPr>
              <w:t>不涉及</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20</w:t>
            </w:r>
          </w:p>
        </w:tc>
        <w:tc>
          <w:tcPr>
            <w:tcW w:w="3581" w:type="dxa"/>
            <w:noWrap w:val="0"/>
            <w:vAlign w:val="center"/>
          </w:tcPr>
          <w:p>
            <w:pPr>
              <w:rPr>
                <w:rFonts w:hint="eastAsia" w:ascii="宋体" w:hAnsi="宋体" w:cs="宋体"/>
                <w:szCs w:val="21"/>
              </w:rPr>
            </w:pPr>
            <w:r>
              <w:rPr>
                <w:rFonts w:hint="eastAsia" w:ascii="宋体" w:hAnsi="宋体" w:cs="宋体"/>
                <w:szCs w:val="21"/>
              </w:rPr>
              <w:t>未按国家标准分区分类储存危险化学品，超量、超品种储存危险化学品，相互禁配物质混放混存。</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default" w:ascii="宋体" w:hAnsi="宋体" w:eastAsia="宋体" w:cs="宋体"/>
                <w:szCs w:val="21"/>
                <w:lang w:val="en-US" w:eastAsia="zh-CN"/>
              </w:rPr>
            </w:pPr>
            <w:r>
              <w:rPr>
                <w:rFonts w:hint="eastAsia" w:ascii="宋体" w:hAnsi="宋体" w:cs="宋体"/>
                <w:szCs w:val="21"/>
              </w:rPr>
              <w:t>存储规模</w:t>
            </w:r>
            <w:r>
              <w:rPr>
                <w:rFonts w:hint="eastAsia" w:ascii="宋体" w:hAnsi="宋体" w:cs="宋体"/>
                <w:szCs w:val="21"/>
                <w:lang w:val="en-US" w:eastAsia="zh-CN"/>
              </w:rPr>
              <w:t>符合要求。</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vMerge w:val="restart"/>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r>
              <w:rPr>
                <w:rFonts w:ascii="宋体" w:hAnsi="宋体" w:eastAsia="宋体" w:cs="宋体"/>
                <w:sz w:val="21"/>
                <w:szCs w:val="21"/>
              </w:rPr>
              <w:t>1</w:t>
            </w:r>
          </w:p>
        </w:tc>
        <w:tc>
          <w:tcPr>
            <w:tcW w:w="3581" w:type="dxa"/>
            <w:noWrap w:val="0"/>
            <w:vAlign w:val="center"/>
          </w:tcPr>
          <w:p>
            <w:pPr>
              <w:rPr>
                <w:rFonts w:hint="eastAsia" w:ascii="宋体" w:hAnsi="宋体" w:cs="宋体"/>
                <w:szCs w:val="21"/>
              </w:rPr>
            </w:pPr>
            <w:r>
              <w:rPr>
                <w:rFonts w:hint="eastAsia" w:ascii="宋体" w:hAnsi="宋体" w:cs="宋体"/>
                <w:szCs w:val="21"/>
              </w:rPr>
              <w:t>从事危险化学品经营的单位（以下统称申请人）应当依法登记注册为企业，并具备下列基本条件：</w:t>
            </w:r>
          </w:p>
        </w:tc>
        <w:tc>
          <w:tcPr>
            <w:tcW w:w="1843" w:type="dxa"/>
            <w:vMerge w:val="restart"/>
            <w:noWrap w:val="0"/>
            <w:vAlign w:val="center"/>
          </w:tcPr>
          <w:p>
            <w:pPr>
              <w:ind w:firstLine="420" w:firstLineChars="200"/>
              <w:rPr>
                <w:rFonts w:hint="eastAsia" w:ascii="宋体" w:hAnsi="宋体" w:cs="宋体"/>
                <w:szCs w:val="21"/>
              </w:rPr>
            </w:pPr>
            <w:r>
              <w:rPr>
                <w:rFonts w:hint="eastAsia" w:ascii="宋体" w:hAnsi="宋体" w:cs="宋体"/>
                <w:szCs w:val="21"/>
              </w:rPr>
              <w:t>《危险化学品经营许可证管理办法》（国家安全生产监督管理总局令第55号）第六条</w:t>
            </w:r>
          </w:p>
        </w:tc>
        <w:tc>
          <w:tcPr>
            <w:tcW w:w="2394" w:type="dxa"/>
            <w:noWrap w:val="0"/>
            <w:vAlign w:val="center"/>
          </w:tcPr>
          <w:p>
            <w:pPr>
              <w:rPr>
                <w:rFonts w:hint="eastAsia" w:ascii="宋体" w:hAnsi="宋体" w:cs="宋体"/>
                <w:szCs w:val="21"/>
              </w:rPr>
            </w:pPr>
            <w:r>
              <w:rPr>
                <w:rFonts w:hint="eastAsia" w:ascii="宋体" w:hAnsi="宋体" w:cs="宋体"/>
                <w:szCs w:val="21"/>
              </w:rPr>
              <w:t>企业已注册，取证营业执照。</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vMerge w:val="continue"/>
            <w:noWrap w:val="0"/>
            <w:vAlign w:val="center"/>
          </w:tcPr>
          <w:p>
            <w:pPr>
              <w:pStyle w:val="119"/>
              <w:spacing w:line="240" w:lineRule="auto"/>
              <w:ind w:firstLine="0" w:firstLineChars="0"/>
              <w:jc w:val="center"/>
              <w:rPr>
                <w:rFonts w:hint="eastAsia" w:ascii="宋体" w:hAnsi="宋体" w:eastAsia="宋体" w:cs="宋体"/>
                <w:sz w:val="21"/>
                <w:szCs w:val="21"/>
              </w:rPr>
            </w:pPr>
          </w:p>
        </w:tc>
        <w:tc>
          <w:tcPr>
            <w:tcW w:w="3581" w:type="dxa"/>
            <w:noWrap w:val="0"/>
            <w:vAlign w:val="center"/>
          </w:tcPr>
          <w:p>
            <w:pPr>
              <w:rPr>
                <w:rFonts w:hint="eastAsia" w:ascii="宋体" w:hAnsi="宋体" w:cs="宋体"/>
                <w:szCs w:val="21"/>
              </w:rPr>
            </w:pPr>
            <w:r>
              <w:rPr>
                <w:rFonts w:hint="eastAsia" w:ascii="宋体" w:hAnsi="宋体" w:cs="宋体"/>
                <w:szCs w:val="21"/>
              </w:rPr>
              <w:t>（一）经营和储存场所、设施、建筑物符合《建筑设计防火规范（2018年版）》（GB50016）、《石油化工企业设计防火规范》（GB50160）、《汽车加油加气加氢站技术标准》（GB50156）、《石油库设计规范》（GB50074）等相关国家标准、行业标准的规定；</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rPr>
              <w:t>经检查，经营和储存场所《建筑设计防火规范（2018年版）》（GB50016）、《石油化工企业设计防火规范》（GB50160）、《汽车加油加气加氢站技术标准》（GB50156）、《石油库设计规范》（GB50074）等相关国家标准、行业标准的规定。</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vMerge w:val="continue"/>
            <w:noWrap w:val="0"/>
            <w:vAlign w:val="center"/>
          </w:tcPr>
          <w:p>
            <w:pPr>
              <w:pStyle w:val="119"/>
              <w:spacing w:line="240" w:lineRule="auto"/>
              <w:ind w:firstLine="0" w:firstLineChars="0"/>
              <w:jc w:val="center"/>
              <w:rPr>
                <w:rFonts w:hint="eastAsia" w:ascii="宋体" w:hAnsi="宋体" w:eastAsia="宋体" w:cs="宋体"/>
                <w:sz w:val="21"/>
                <w:szCs w:val="21"/>
              </w:rPr>
            </w:pPr>
          </w:p>
        </w:tc>
        <w:tc>
          <w:tcPr>
            <w:tcW w:w="3581" w:type="dxa"/>
            <w:noWrap w:val="0"/>
            <w:vAlign w:val="center"/>
          </w:tcPr>
          <w:p>
            <w:pPr>
              <w:rPr>
                <w:rFonts w:hint="eastAsia" w:ascii="宋体" w:hAnsi="宋体" w:cs="宋体"/>
                <w:szCs w:val="21"/>
              </w:rPr>
            </w:pPr>
            <w:r>
              <w:rPr>
                <w:rFonts w:hint="eastAsia" w:ascii="宋体" w:hAnsi="宋体" w:cs="宋体"/>
                <w:szCs w:val="21"/>
              </w:rPr>
              <w:t>（二）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lang w:val="en-US" w:eastAsia="zh-CN"/>
              </w:rPr>
              <w:t>公司</w:t>
            </w:r>
            <w:r>
              <w:rPr>
                <w:rFonts w:hint="eastAsia" w:ascii="宋体" w:hAnsi="宋体" w:cs="宋体"/>
                <w:szCs w:val="21"/>
              </w:rPr>
              <w:t>的</w:t>
            </w:r>
            <w:r>
              <w:rPr>
                <w:rFonts w:hint="eastAsia" w:ascii="宋体" w:hAnsi="宋体" w:cs="宋体"/>
                <w:szCs w:val="21"/>
                <w:lang w:val="en-US" w:eastAsia="zh-CN"/>
              </w:rPr>
              <w:t>负责人</w:t>
            </w:r>
            <w:r>
              <w:rPr>
                <w:rFonts w:hint="eastAsia" w:ascii="宋体" w:hAnsi="宋体" w:cs="宋体"/>
                <w:szCs w:val="21"/>
              </w:rPr>
              <w:t>、安全员已取证。电工等其它特种作业委托具有相应资质的单位作业。</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vMerge w:val="continue"/>
            <w:noWrap w:val="0"/>
            <w:vAlign w:val="center"/>
          </w:tcPr>
          <w:p>
            <w:pPr>
              <w:pStyle w:val="119"/>
              <w:spacing w:line="240" w:lineRule="auto"/>
              <w:ind w:firstLine="0" w:firstLineChars="0"/>
              <w:jc w:val="center"/>
              <w:rPr>
                <w:rFonts w:hint="eastAsia" w:ascii="宋体" w:hAnsi="宋体" w:eastAsia="宋体" w:cs="宋体"/>
                <w:sz w:val="21"/>
                <w:szCs w:val="21"/>
              </w:rPr>
            </w:pPr>
          </w:p>
        </w:tc>
        <w:tc>
          <w:tcPr>
            <w:tcW w:w="3581" w:type="dxa"/>
            <w:noWrap w:val="0"/>
            <w:vAlign w:val="center"/>
          </w:tcPr>
          <w:p>
            <w:pPr>
              <w:rPr>
                <w:rFonts w:hint="eastAsia" w:ascii="宋体" w:hAnsi="宋体" w:cs="宋体"/>
                <w:szCs w:val="21"/>
              </w:rPr>
            </w:pPr>
            <w:r>
              <w:rPr>
                <w:rFonts w:hint="eastAsia" w:ascii="宋体" w:hAnsi="宋体" w:cs="宋体"/>
                <w:szCs w:val="21"/>
              </w:rPr>
              <w:t>（四）有符合国家规定的危险化学品事故应急预案，并配备必要的应急救援器材、设备；</w:t>
            </w:r>
          </w:p>
        </w:tc>
        <w:tc>
          <w:tcPr>
            <w:tcW w:w="1843" w:type="dxa"/>
            <w:vMerge w:val="continue"/>
            <w:noWrap w:val="0"/>
            <w:vAlign w:val="center"/>
          </w:tcPr>
          <w:p>
            <w:pPr>
              <w:pStyle w:val="119"/>
              <w:spacing w:line="240" w:lineRule="auto"/>
              <w:ind w:firstLine="0" w:firstLineChars="0"/>
              <w:rPr>
                <w:rFonts w:hint="eastAsia" w:ascii="宋体" w:hAnsi="宋体" w:eastAsia="宋体" w:cs="宋体"/>
                <w:sz w:val="21"/>
                <w:szCs w:val="21"/>
              </w:rPr>
            </w:pPr>
          </w:p>
        </w:tc>
        <w:tc>
          <w:tcPr>
            <w:tcW w:w="2394" w:type="dxa"/>
            <w:noWrap w:val="0"/>
            <w:vAlign w:val="center"/>
          </w:tcPr>
          <w:p>
            <w:pPr>
              <w:rPr>
                <w:rFonts w:hint="eastAsia" w:ascii="宋体" w:hAnsi="宋体" w:cs="宋体"/>
                <w:szCs w:val="21"/>
              </w:rPr>
            </w:pPr>
            <w:r>
              <w:rPr>
                <w:rFonts w:hint="eastAsia" w:ascii="宋体" w:hAnsi="宋体" w:cs="宋体"/>
                <w:szCs w:val="21"/>
              </w:rPr>
              <w:t>已按要求编制了应急预案。配备了相应的灭火器材和应急器材。</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96"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ascii="宋体" w:hAnsi="宋体" w:eastAsia="宋体" w:cs="宋体"/>
                <w:sz w:val="21"/>
                <w:szCs w:val="21"/>
              </w:rPr>
              <w:t>22</w:t>
            </w:r>
          </w:p>
        </w:tc>
        <w:tc>
          <w:tcPr>
            <w:tcW w:w="3581" w:type="dxa"/>
            <w:noWrap w:val="0"/>
            <w:vAlign w:val="center"/>
          </w:tcPr>
          <w:p>
            <w:pPr>
              <w:rPr>
                <w:rFonts w:hint="eastAsia" w:ascii="宋体" w:hAnsi="宋体" w:cs="宋体"/>
                <w:szCs w:val="21"/>
              </w:rPr>
            </w:pPr>
            <w:r>
              <w:rPr>
                <w:rFonts w:hint="eastAsia" w:ascii="宋体" w:hAnsi="宋体" w:cs="宋体"/>
                <w:szCs w:val="21"/>
              </w:rPr>
              <w:t>提出危险化学品经营许可证延期申请的企业，安全生产标准化应达到三级。</w:t>
            </w:r>
          </w:p>
        </w:tc>
        <w:tc>
          <w:tcPr>
            <w:tcW w:w="1843" w:type="dxa"/>
            <w:noWrap w:val="0"/>
            <w:vAlign w:val="center"/>
          </w:tcPr>
          <w:p>
            <w:pPr>
              <w:pStyle w:val="119"/>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《云南省安全生产监督管理局关于危险化学品经营行政许可有关事项的通知》（云安监管〔2013〕13号）第六条</w:t>
            </w:r>
          </w:p>
        </w:tc>
        <w:tc>
          <w:tcPr>
            <w:tcW w:w="2394" w:type="dxa"/>
            <w:noWrap w:val="0"/>
            <w:vAlign w:val="center"/>
          </w:tcPr>
          <w:p>
            <w:pPr>
              <w:rPr>
                <w:rFonts w:hint="eastAsia" w:ascii="宋体" w:hAnsi="宋体" w:cs="宋体"/>
                <w:szCs w:val="21"/>
              </w:rPr>
            </w:pPr>
            <w:r>
              <w:rPr>
                <w:rFonts w:hint="eastAsia" w:ascii="宋体" w:hAnsi="宋体" w:cs="宋体"/>
                <w:szCs w:val="21"/>
              </w:rPr>
              <w:t>已取得安全生产标准化证书。</w:t>
            </w:r>
          </w:p>
        </w:tc>
        <w:tc>
          <w:tcPr>
            <w:tcW w:w="960" w:type="dxa"/>
            <w:noWrap w:val="0"/>
            <w:vAlign w:val="center"/>
          </w:tcPr>
          <w:p>
            <w:pPr>
              <w:pStyle w:val="119"/>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bl>
    <w:p>
      <w:pPr>
        <w:pStyle w:val="2"/>
        <w:rPr>
          <w:rFonts w:hint="eastAsia"/>
        </w:rPr>
      </w:pPr>
    </w:p>
    <w:p>
      <w:pPr>
        <w:pStyle w:val="19"/>
        <w:spacing w:afterLines="100" w:line="500" w:lineRule="exact"/>
        <w:rPr>
          <w:rFonts w:ascii="黑体" w:hAnsi="宋体" w:eastAsia="黑体"/>
          <w:color w:val="000000" w:themeColor="text1"/>
          <w:kern w:val="3"/>
          <w:sz w:val="28"/>
          <w:szCs w:val="28"/>
        </w:rPr>
      </w:pPr>
      <w:r>
        <w:rPr>
          <w:rFonts w:hint="eastAsia" w:ascii="黑体" w:hAnsi="宋体" w:eastAsia="黑体"/>
          <w:color w:val="000000" w:themeColor="text1"/>
          <w:kern w:val="3"/>
          <w:sz w:val="28"/>
          <w:szCs w:val="28"/>
        </w:rPr>
        <w:t>5.8.2评价单元小结</w:t>
      </w:r>
      <w:bookmarkEnd w:id="1943"/>
      <w:bookmarkEnd w:id="1944"/>
      <w:bookmarkEnd w:id="1945"/>
      <w:bookmarkEnd w:id="1946"/>
      <w:bookmarkEnd w:id="1947"/>
      <w:bookmarkEnd w:id="1948"/>
      <w:bookmarkEnd w:id="1949"/>
      <w:bookmarkEnd w:id="1950"/>
    </w:p>
    <w:p>
      <w:pPr>
        <w:spacing w:line="500" w:lineRule="exact"/>
        <w:ind w:firstLine="560" w:firstLineChars="200"/>
        <w:rPr>
          <w:color w:val="000000" w:themeColor="text1"/>
          <w:sz w:val="28"/>
          <w:szCs w:val="28"/>
        </w:rPr>
      </w:pPr>
      <w:r>
        <w:rPr>
          <w:rFonts w:hint="eastAsia"/>
          <w:sz w:val="28"/>
          <w:szCs w:val="28"/>
        </w:rPr>
        <w:t>通过上述安全检查</w:t>
      </w:r>
      <w:r>
        <w:rPr>
          <w:rFonts w:hint="eastAsia"/>
          <w:sz w:val="28"/>
          <w:szCs w:val="28"/>
          <w:lang w:val="en-US" w:eastAsia="zh-CN"/>
        </w:rPr>
        <w:t>评价</w:t>
      </w:r>
      <w:r>
        <w:rPr>
          <w:rFonts w:hint="eastAsia"/>
          <w:sz w:val="28"/>
          <w:szCs w:val="28"/>
        </w:rPr>
        <w:t>，该</w:t>
      </w:r>
      <w:r>
        <w:rPr>
          <w:rFonts w:hint="eastAsia"/>
          <w:sz w:val="28"/>
          <w:szCs w:val="28"/>
          <w:lang w:val="en-US" w:eastAsia="zh-CN"/>
        </w:rPr>
        <w:t>公司</w:t>
      </w:r>
      <w:r>
        <w:rPr>
          <w:rFonts w:hint="eastAsia"/>
          <w:sz w:val="28"/>
          <w:szCs w:val="28"/>
        </w:rPr>
        <w:t>不存在</w:t>
      </w:r>
      <w:r>
        <w:rPr>
          <w:rFonts w:hint="eastAsia" w:ascii="宋体" w:hAnsi="宋体" w:cs="宋体"/>
          <w:sz w:val="28"/>
          <w:szCs w:val="28"/>
        </w:rPr>
        <w:t>重大生产安全事故隐患，</w:t>
      </w:r>
      <w:r>
        <w:rPr>
          <w:rFonts w:hint="eastAsia"/>
          <w:sz w:val="28"/>
          <w:szCs w:val="28"/>
        </w:rPr>
        <w:t>其安全经营条件符合《危险化学品经营许可证管理办法》（国家安全生产监督管理总局令第55号）和《云南省安全生产监督管理局关于危险化学品经营行政许可有关事项的通知》（云安监管〔2013〕13号）的有关要求</w:t>
      </w:r>
      <w:r>
        <w:rPr>
          <w:color w:val="000000" w:themeColor="text1"/>
          <w:sz w:val="28"/>
          <w:szCs w:val="28"/>
        </w:rPr>
        <w:t>。</w:t>
      </w:r>
    </w:p>
    <w:p>
      <w:pPr>
        <w:autoSpaceDE w:val="0"/>
        <w:autoSpaceDN w:val="0"/>
        <w:adjustRightInd w:val="0"/>
        <w:rPr>
          <w:color w:val="000000" w:themeColor="text1"/>
          <w:sz w:val="28"/>
          <w:szCs w:val="28"/>
        </w:rPr>
      </w:pPr>
    </w:p>
    <w:p>
      <w:pPr>
        <w:keepNext/>
        <w:keepLines/>
        <w:pageBreakBefore/>
        <w:spacing w:before="340" w:after="330" w:line="500" w:lineRule="exact"/>
        <w:jc w:val="center"/>
        <w:outlineLvl w:val="0"/>
        <w:rPr>
          <w:rFonts w:ascii="楷体_GB2312" w:hAnsi="宋体" w:eastAsia="楷体_GB2312"/>
          <w:b/>
          <w:bCs/>
          <w:color w:val="000000" w:themeColor="text1"/>
          <w:kern w:val="3"/>
          <w:sz w:val="32"/>
          <w:szCs w:val="32"/>
        </w:rPr>
      </w:pPr>
      <w:bookmarkStart w:id="1951" w:name="_Toc11340"/>
      <w:bookmarkStart w:id="1952" w:name="_Toc7756"/>
      <w:bookmarkStart w:id="1953" w:name="_Toc15187"/>
      <w:bookmarkStart w:id="1954" w:name="_Toc13121"/>
      <w:bookmarkStart w:id="1955" w:name="_Toc15566"/>
      <w:bookmarkStart w:id="1956" w:name="_Toc26349"/>
      <w:bookmarkStart w:id="1957" w:name="_Toc10026"/>
      <w:bookmarkStart w:id="1958" w:name="_Toc29703"/>
      <w:bookmarkStart w:id="1959" w:name="_Toc16905_WPSOffice_Level1"/>
      <w:bookmarkStart w:id="1960" w:name="_Toc2771"/>
      <w:bookmarkStart w:id="1961" w:name="_Toc13029"/>
      <w:bookmarkStart w:id="1962" w:name="_Toc32704"/>
      <w:bookmarkStart w:id="1963" w:name="_Toc6411"/>
      <w:bookmarkStart w:id="1964" w:name="_Toc30549"/>
      <w:bookmarkStart w:id="1965" w:name="_Toc21847"/>
      <w:bookmarkStart w:id="1966" w:name="_Toc31711"/>
      <w:r>
        <w:rPr>
          <w:rFonts w:hint="eastAsia" w:ascii="楷体_GB2312" w:hAnsi="宋体" w:eastAsia="楷体_GB2312"/>
          <w:b/>
          <w:bCs/>
          <w:color w:val="000000" w:themeColor="text1"/>
          <w:kern w:val="3"/>
          <w:sz w:val="32"/>
          <w:szCs w:val="32"/>
        </w:rPr>
        <w:t>第6章 存在的主要隐患问题及整改情况</w:t>
      </w:r>
      <w:bookmarkEnd w:id="1925"/>
      <w:r>
        <w:rPr>
          <w:rFonts w:hint="eastAsia" w:ascii="楷体_GB2312" w:hAnsi="宋体" w:eastAsia="楷体_GB2312"/>
          <w:b/>
          <w:bCs/>
          <w:color w:val="000000" w:themeColor="text1"/>
          <w:kern w:val="3"/>
          <w:sz w:val="32"/>
          <w:szCs w:val="32"/>
        </w:rPr>
        <w:t>、安全对策措施及建议</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pPr>
        <w:pStyle w:val="19"/>
        <w:spacing w:afterLines="100" w:line="500" w:lineRule="exact"/>
        <w:jc w:val="center"/>
        <w:rPr>
          <w:rFonts w:ascii="楷体_GB2312" w:hAnsi="宋体" w:eastAsia="楷体_GB2312"/>
          <w:color w:val="000000" w:themeColor="text1"/>
          <w:kern w:val="3"/>
        </w:rPr>
      </w:pPr>
      <w:bookmarkStart w:id="1967" w:name="_Toc4501"/>
      <w:bookmarkStart w:id="1968" w:name="_Toc27032"/>
      <w:bookmarkStart w:id="1969" w:name="_Toc20"/>
      <w:bookmarkStart w:id="1970" w:name="_Toc31608_WPSOffice_Level2"/>
      <w:bookmarkStart w:id="1971" w:name="_Toc8469"/>
      <w:bookmarkStart w:id="1972" w:name="_Toc15492"/>
      <w:bookmarkStart w:id="1973" w:name="_Toc4002"/>
      <w:bookmarkStart w:id="1974" w:name="_Toc17985"/>
      <w:bookmarkStart w:id="1975" w:name="_Toc30480"/>
      <w:bookmarkStart w:id="1976" w:name="_Toc24924"/>
      <w:bookmarkStart w:id="1977" w:name="_Toc4817"/>
      <w:bookmarkStart w:id="1978" w:name="_Toc9670"/>
      <w:bookmarkStart w:id="1979" w:name="_Toc18330"/>
      <w:bookmarkStart w:id="1980" w:name="_Toc10718"/>
      <w:bookmarkStart w:id="1981" w:name="_Toc2565"/>
      <w:bookmarkStart w:id="1982" w:name="_Toc10620"/>
      <w:bookmarkStart w:id="1983" w:name="_Toc6577"/>
      <w:r>
        <w:rPr>
          <w:rFonts w:hint="eastAsia" w:ascii="楷体_GB2312" w:hAnsi="宋体" w:eastAsia="楷体_GB2312"/>
          <w:color w:val="000000" w:themeColor="text1"/>
          <w:kern w:val="3"/>
        </w:rPr>
        <w:t>6.1存在的主要隐患问题</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pPr>
        <w:adjustRightInd w:val="0"/>
        <w:snapToGrid w:val="0"/>
        <w:spacing w:line="500" w:lineRule="exact"/>
        <w:ind w:firstLine="560" w:firstLineChars="200"/>
        <w:rPr>
          <w:color w:val="000000" w:themeColor="text1"/>
          <w:sz w:val="28"/>
          <w:szCs w:val="28"/>
        </w:rPr>
      </w:pPr>
      <w:r>
        <w:rPr>
          <w:rFonts w:hint="eastAsia"/>
          <w:color w:val="000000" w:themeColor="text1"/>
          <w:sz w:val="28"/>
          <w:szCs w:val="28"/>
        </w:rPr>
        <w:t>昭通市鼎安科技有限公司</w:t>
      </w:r>
      <w:r>
        <w:rPr>
          <w:color w:val="000000" w:themeColor="text1"/>
          <w:sz w:val="28"/>
          <w:szCs w:val="28"/>
        </w:rPr>
        <w:t>评价组于</w:t>
      </w:r>
      <w:r>
        <w:rPr>
          <w:rFonts w:hint="eastAsia"/>
          <w:color w:val="000000" w:themeColor="text1"/>
          <w:sz w:val="28"/>
          <w:szCs w:val="28"/>
          <w:lang w:val="en-US" w:eastAsia="zh-CN"/>
        </w:rPr>
        <w:t>2025</w:t>
      </w:r>
      <w:r>
        <w:rPr>
          <w:color w:val="000000" w:themeColor="text1"/>
          <w:sz w:val="28"/>
          <w:szCs w:val="28"/>
        </w:rPr>
        <w:t>年</w:t>
      </w:r>
      <w:r>
        <w:rPr>
          <w:rFonts w:hint="eastAsia"/>
          <w:color w:val="000000" w:themeColor="text1"/>
          <w:sz w:val="28"/>
          <w:szCs w:val="28"/>
          <w:lang w:val="en-US" w:eastAsia="zh-CN"/>
        </w:rPr>
        <w:t>5</w:t>
      </w:r>
      <w:r>
        <w:rPr>
          <w:color w:val="000000" w:themeColor="text1"/>
          <w:sz w:val="28"/>
          <w:szCs w:val="28"/>
        </w:rPr>
        <w:t>月</w:t>
      </w:r>
      <w:r>
        <w:rPr>
          <w:rFonts w:hint="eastAsia"/>
          <w:color w:val="000000" w:themeColor="text1"/>
          <w:sz w:val="28"/>
          <w:szCs w:val="28"/>
          <w:lang w:val="en-US" w:eastAsia="zh-CN"/>
        </w:rPr>
        <w:t>23</w:t>
      </w:r>
      <w:r>
        <w:rPr>
          <w:color w:val="000000" w:themeColor="text1"/>
          <w:sz w:val="28"/>
          <w:szCs w:val="28"/>
        </w:rPr>
        <w:t>日到</w:t>
      </w:r>
      <w:r>
        <w:rPr>
          <w:rFonts w:hint="eastAsia"/>
          <w:color w:val="000000" w:themeColor="text1"/>
          <w:sz w:val="28"/>
          <w:szCs w:val="28"/>
        </w:rPr>
        <w:t>昭通市耀晨甲醇醇油有限公司</w:t>
      </w:r>
      <w:r>
        <w:rPr>
          <w:color w:val="000000" w:themeColor="text1"/>
          <w:sz w:val="28"/>
          <w:szCs w:val="28"/>
        </w:rPr>
        <w:t>现场检查以及在该报告编写过程中，发现该项目存在以下主要问题：</w:t>
      </w:r>
    </w:p>
    <w:p>
      <w:pPr>
        <w:adjustRightInd w:val="0"/>
        <w:snapToGrid w:val="0"/>
        <w:spacing w:line="50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1.储罐区操作井盖未跨接；</w:t>
      </w:r>
    </w:p>
    <w:p>
      <w:pPr>
        <w:adjustRightInd w:val="0"/>
        <w:snapToGrid w:val="0"/>
        <w:spacing w:line="50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2.</w:t>
      </w:r>
      <w:r>
        <w:rPr>
          <w:rFonts w:hint="eastAsia"/>
          <w:color w:val="000000" w:themeColor="text1"/>
          <w:sz w:val="28"/>
          <w:szCs w:val="28"/>
        </w:rPr>
        <w:t>埋地甲醇罐操作井</w:t>
      </w:r>
      <w:r>
        <w:rPr>
          <w:rFonts w:hint="eastAsia"/>
          <w:color w:val="000000" w:themeColor="text1"/>
          <w:sz w:val="28"/>
          <w:szCs w:val="28"/>
          <w:lang w:val="en-US" w:eastAsia="zh-CN"/>
        </w:rPr>
        <w:t>内</w:t>
      </w:r>
      <w:r>
        <w:rPr>
          <w:rFonts w:hint="eastAsia"/>
          <w:color w:val="000000" w:themeColor="text1"/>
          <w:sz w:val="28"/>
          <w:szCs w:val="28"/>
        </w:rPr>
        <w:t>无介质流向标识</w:t>
      </w:r>
      <w:r>
        <w:rPr>
          <w:rFonts w:hint="eastAsia"/>
          <w:color w:val="000000" w:themeColor="text1"/>
          <w:sz w:val="28"/>
          <w:szCs w:val="28"/>
          <w:lang w:val="en-US" w:eastAsia="zh-CN"/>
        </w:rPr>
        <w:t>；</w:t>
      </w:r>
    </w:p>
    <w:p>
      <w:pPr>
        <w:adjustRightInd w:val="0"/>
        <w:snapToGrid w:val="0"/>
        <w:spacing w:line="50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3.卸甲醇口未静电接地跨接；</w:t>
      </w:r>
    </w:p>
    <w:p>
      <w:pPr>
        <w:adjustRightInd w:val="0"/>
        <w:snapToGrid w:val="0"/>
        <w:spacing w:line="50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4.静电释放装置与卸甲醇口距离不足；</w:t>
      </w:r>
    </w:p>
    <w:p>
      <w:pPr>
        <w:adjustRightInd w:val="0"/>
        <w:snapToGrid w:val="0"/>
        <w:spacing w:line="50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5.加注机上方有电缆线、通讯线等；</w:t>
      </w:r>
    </w:p>
    <w:p>
      <w:pPr>
        <w:adjustRightInd w:val="0"/>
        <w:snapToGrid w:val="0"/>
        <w:spacing w:line="50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6.未设置可燃气体检测报警仪；</w:t>
      </w:r>
    </w:p>
    <w:p>
      <w:pPr>
        <w:adjustRightInd w:val="0"/>
        <w:snapToGrid w:val="0"/>
        <w:spacing w:line="50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7.未设置站内急停开关；</w:t>
      </w:r>
    </w:p>
    <w:p>
      <w:pPr>
        <w:adjustRightInd w:val="0"/>
        <w:snapToGrid w:val="0"/>
        <w:spacing w:line="50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8.配电室无应急灯，消防器材未配置绝缘手套、绝缘垫、绝缘鞋；</w:t>
      </w:r>
    </w:p>
    <w:p>
      <w:pPr>
        <w:adjustRightInd w:val="0"/>
        <w:snapToGrid w:val="0"/>
        <w:spacing w:line="50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9.甲醇加注区未设置静电接地夹；</w:t>
      </w:r>
    </w:p>
    <w:p>
      <w:pPr>
        <w:adjustRightInd w:val="0"/>
        <w:snapToGrid w:val="0"/>
        <w:spacing w:line="50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10.进入罐区的门损坏</w:t>
      </w:r>
      <w:bookmarkStart w:id="1984" w:name="_Toc1898"/>
      <w:bookmarkStart w:id="1985" w:name="_Toc14221_WPSOffice_Level2"/>
      <w:bookmarkStart w:id="1986" w:name="_Toc19035"/>
      <w:bookmarkStart w:id="1987" w:name="_Toc20885"/>
      <w:bookmarkStart w:id="1988" w:name="_Toc13097"/>
      <w:bookmarkStart w:id="1989" w:name="_Toc23018"/>
      <w:bookmarkStart w:id="1990" w:name="_Toc22903"/>
      <w:bookmarkStart w:id="1991" w:name="_Toc19980"/>
      <w:r>
        <w:rPr>
          <w:rFonts w:hint="eastAsia"/>
          <w:color w:val="000000" w:themeColor="text1"/>
          <w:sz w:val="28"/>
          <w:szCs w:val="28"/>
          <w:lang w:val="en-US" w:eastAsia="zh-CN"/>
        </w:rPr>
        <w:t>；</w:t>
      </w:r>
    </w:p>
    <w:p>
      <w:pPr>
        <w:adjustRightInd w:val="0"/>
        <w:snapToGrid w:val="0"/>
        <w:spacing w:line="500" w:lineRule="exact"/>
        <w:ind w:firstLine="560" w:firstLineChars="200"/>
        <w:rPr>
          <w:rFonts w:hint="default"/>
          <w:color w:val="000000" w:themeColor="text1"/>
          <w:sz w:val="28"/>
          <w:szCs w:val="28"/>
          <w:lang w:val="en-US" w:eastAsia="zh-CN"/>
        </w:rPr>
      </w:pPr>
      <w:r>
        <w:rPr>
          <w:rFonts w:hint="eastAsia"/>
          <w:color w:val="000000" w:themeColor="text1"/>
          <w:sz w:val="28"/>
          <w:szCs w:val="28"/>
          <w:lang w:val="en-US" w:eastAsia="zh-CN"/>
        </w:rPr>
        <w:t>11.加注机内无剪切阀。</w:t>
      </w:r>
    </w:p>
    <w:p>
      <w:pPr>
        <w:pStyle w:val="19"/>
        <w:spacing w:afterLines="100" w:line="500" w:lineRule="exact"/>
        <w:jc w:val="center"/>
        <w:rPr>
          <w:rFonts w:ascii="楷体_GB2312" w:hAnsi="宋体" w:eastAsia="楷体_GB2312"/>
          <w:color w:val="000000" w:themeColor="text1"/>
          <w:kern w:val="3"/>
        </w:rPr>
      </w:pPr>
      <w:r>
        <w:rPr>
          <w:rFonts w:hint="eastAsia" w:ascii="楷体_GB2312" w:hAnsi="宋体" w:eastAsia="楷体_GB2312"/>
          <w:color w:val="000000" w:themeColor="text1"/>
          <w:kern w:val="3"/>
        </w:rPr>
        <w:t>6.2整改情况</w:t>
      </w:r>
      <w:bookmarkEnd w:id="1984"/>
      <w:bookmarkEnd w:id="1985"/>
      <w:bookmarkEnd w:id="1986"/>
      <w:bookmarkEnd w:id="1987"/>
      <w:bookmarkEnd w:id="1988"/>
      <w:bookmarkEnd w:id="1989"/>
      <w:bookmarkEnd w:id="1990"/>
      <w:bookmarkEnd w:id="1991"/>
    </w:p>
    <w:p>
      <w:pPr>
        <w:pStyle w:val="74"/>
        <w:spacing w:line="500" w:lineRule="exact"/>
        <w:ind w:firstLine="560"/>
        <w:rPr>
          <w:rFonts w:ascii="Times New Roman" w:hAnsi="Times New Roman"/>
          <w:snapToGrid w:val="0"/>
          <w:color w:val="000000" w:themeColor="text1"/>
          <w:kern w:val="0"/>
          <w:szCs w:val="28"/>
        </w:rPr>
      </w:pPr>
      <w:r>
        <w:rPr>
          <w:rFonts w:hint="eastAsia" w:ascii="宋体" w:hAnsi="宋体"/>
          <w:kern w:val="3"/>
          <w:sz w:val="28"/>
          <w:szCs w:val="28"/>
        </w:rPr>
        <w:t>昭通市鼎安科技有限公司</w:t>
      </w:r>
      <w:r>
        <w:rPr>
          <w:rFonts w:ascii="宋体" w:hAnsi="宋体"/>
          <w:kern w:val="3"/>
          <w:sz w:val="28"/>
          <w:szCs w:val="28"/>
        </w:rPr>
        <w:t>评价组于</w:t>
      </w:r>
      <w:r>
        <w:rPr>
          <w:rFonts w:hint="eastAsia" w:ascii="宋体" w:hAnsi="宋体"/>
          <w:kern w:val="3"/>
          <w:sz w:val="28"/>
          <w:szCs w:val="28"/>
          <w:lang w:eastAsia="zh-CN"/>
        </w:rPr>
        <w:t>2025年</w:t>
      </w:r>
      <w:r>
        <w:rPr>
          <w:rFonts w:hint="eastAsia" w:cs="Times New Roman"/>
          <w:bCs/>
          <w:snapToGrid w:val="0"/>
          <w:color w:val="000000"/>
          <w:kern w:val="0"/>
          <w:sz w:val="28"/>
          <w:szCs w:val="28"/>
          <w:lang w:val="en-US" w:eastAsia="zh-CN"/>
        </w:rPr>
        <w:t>5</w:t>
      </w:r>
      <w:r>
        <w:rPr>
          <w:rFonts w:hint="eastAsia" w:ascii="宋体" w:hAnsi="宋体" w:eastAsia="宋体" w:cs="Times New Roman"/>
          <w:bCs/>
          <w:snapToGrid w:val="0"/>
          <w:color w:val="000000"/>
          <w:kern w:val="0"/>
          <w:sz w:val="28"/>
          <w:szCs w:val="28"/>
          <w:lang w:eastAsia="zh-CN"/>
        </w:rPr>
        <w:t>月</w:t>
      </w:r>
      <w:r>
        <w:rPr>
          <w:rFonts w:hint="eastAsia" w:ascii="宋体" w:hAnsi="宋体" w:eastAsia="宋体" w:cs="Times New Roman"/>
          <w:bCs/>
          <w:snapToGrid w:val="0"/>
          <w:color w:val="000000"/>
          <w:kern w:val="0"/>
          <w:sz w:val="28"/>
          <w:szCs w:val="28"/>
          <w:lang w:val="en-US" w:eastAsia="zh-CN"/>
        </w:rPr>
        <w:t>23</w:t>
      </w:r>
      <w:r>
        <w:rPr>
          <w:rFonts w:hint="eastAsia" w:ascii="宋体" w:hAnsi="宋体" w:eastAsia="宋体" w:cs="Times New Roman"/>
          <w:bCs/>
          <w:snapToGrid w:val="0"/>
          <w:color w:val="000000"/>
          <w:kern w:val="0"/>
          <w:sz w:val="28"/>
          <w:szCs w:val="28"/>
          <w:lang w:eastAsia="zh-CN"/>
        </w:rPr>
        <w:t>日</w:t>
      </w:r>
      <w:r>
        <w:rPr>
          <w:rFonts w:ascii="宋体" w:hAnsi="宋体"/>
          <w:kern w:val="3"/>
          <w:sz w:val="28"/>
          <w:szCs w:val="28"/>
        </w:rPr>
        <w:t>到</w:t>
      </w:r>
      <w:r>
        <w:rPr>
          <w:rFonts w:hint="eastAsia"/>
          <w:color w:val="000000" w:themeColor="text1"/>
          <w:sz w:val="28"/>
          <w:szCs w:val="28"/>
        </w:rPr>
        <w:t>昭通市耀晨甲醇醇油有限公司</w:t>
      </w:r>
      <w:r>
        <w:rPr>
          <w:rFonts w:ascii="宋体" w:hAnsi="宋体"/>
          <w:kern w:val="3"/>
          <w:sz w:val="28"/>
          <w:szCs w:val="28"/>
        </w:rPr>
        <w:t>现场检查时</w:t>
      </w:r>
      <w:r>
        <w:rPr>
          <w:rFonts w:hint="eastAsia" w:ascii="宋体" w:hAnsi="宋体"/>
          <w:kern w:val="3"/>
          <w:sz w:val="28"/>
          <w:szCs w:val="28"/>
        </w:rPr>
        <w:t>发现</w:t>
      </w:r>
      <w:r>
        <w:rPr>
          <w:rFonts w:hint="eastAsia"/>
          <w:kern w:val="3"/>
          <w:sz w:val="28"/>
          <w:szCs w:val="28"/>
          <w:lang w:val="en-US" w:eastAsia="zh-CN"/>
        </w:rPr>
        <w:t>公司</w:t>
      </w:r>
      <w:r>
        <w:rPr>
          <w:rFonts w:hint="eastAsia" w:ascii="宋体" w:hAnsi="宋体"/>
          <w:kern w:val="3"/>
          <w:sz w:val="28"/>
          <w:szCs w:val="28"/>
        </w:rPr>
        <w:t>存在的问题后，与</w:t>
      </w:r>
      <w:r>
        <w:rPr>
          <w:rFonts w:hint="eastAsia"/>
          <w:color w:val="000000" w:themeColor="text1"/>
          <w:sz w:val="28"/>
          <w:szCs w:val="28"/>
        </w:rPr>
        <w:t>昭通市耀晨甲醇醇油有限公司</w:t>
      </w:r>
      <w:r>
        <w:rPr>
          <w:rFonts w:hint="eastAsia" w:ascii="宋体" w:hAnsi="宋体"/>
          <w:kern w:val="3"/>
          <w:sz w:val="28"/>
          <w:szCs w:val="28"/>
        </w:rPr>
        <w:t>交换了意见，</w:t>
      </w:r>
      <w:r>
        <w:rPr>
          <w:rFonts w:hint="eastAsia"/>
          <w:color w:val="000000" w:themeColor="text1"/>
          <w:sz w:val="28"/>
          <w:szCs w:val="28"/>
        </w:rPr>
        <w:t>昭通市耀晨甲醇醇油有限公司</w:t>
      </w:r>
      <w:r>
        <w:rPr>
          <w:rFonts w:hint="eastAsia" w:ascii="宋体" w:hAnsi="宋体"/>
          <w:kern w:val="3"/>
          <w:sz w:val="28"/>
          <w:szCs w:val="28"/>
          <w:lang w:val="en-US" w:eastAsia="zh-CN"/>
        </w:rPr>
        <w:t>现场已经于2025年</w:t>
      </w:r>
      <w:r>
        <w:rPr>
          <w:rFonts w:hint="eastAsia"/>
          <w:kern w:val="3"/>
          <w:sz w:val="28"/>
          <w:szCs w:val="28"/>
          <w:lang w:val="en-US" w:eastAsia="zh-CN"/>
        </w:rPr>
        <w:t>7</w:t>
      </w:r>
      <w:r>
        <w:rPr>
          <w:rFonts w:hint="eastAsia" w:ascii="宋体" w:hAnsi="宋体"/>
          <w:kern w:val="3"/>
          <w:sz w:val="28"/>
          <w:szCs w:val="28"/>
          <w:lang w:val="en-US" w:eastAsia="zh-CN"/>
        </w:rPr>
        <w:t>月</w:t>
      </w:r>
      <w:r>
        <w:rPr>
          <w:rFonts w:hint="eastAsia"/>
          <w:kern w:val="3"/>
          <w:sz w:val="28"/>
          <w:szCs w:val="28"/>
          <w:lang w:val="en-US" w:eastAsia="zh-CN"/>
        </w:rPr>
        <w:t>前</w:t>
      </w:r>
      <w:r>
        <w:rPr>
          <w:rFonts w:hint="eastAsia" w:ascii="宋体" w:hAnsi="宋体"/>
          <w:kern w:val="3"/>
          <w:sz w:val="28"/>
          <w:szCs w:val="28"/>
          <w:lang w:val="en-US" w:eastAsia="zh-CN"/>
        </w:rPr>
        <w:t>整改完毕</w:t>
      </w:r>
      <w:r>
        <w:rPr>
          <w:rFonts w:hint="eastAsia" w:ascii="Times New Roman" w:hAnsi="Times New Roman"/>
          <w:color w:val="000000" w:themeColor="text1"/>
          <w:szCs w:val="28"/>
          <w:lang w:val="en-US" w:eastAsia="zh-CN"/>
        </w:rPr>
        <w:t>（详见企业整改情况说明报告）</w:t>
      </w:r>
      <w:r>
        <w:rPr>
          <w:rFonts w:ascii="Times New Roman" w:hAnsi="Times New Roman"/>
          <w:color w:val="000000" w:themeColor="text1"/>
          <w:szCs w:val="28"/>
        </w:rPr>
        <w:t>。</w:t>
      </w:r>
    </w:p>
    <w:p>
      <w:pPr>
        <w:pStyle w:val="19"/>
        <w:spacing w:afterLines="100" w:line="500" w:lineRule="exact"/>
        <w:jc w:val="center"/>
        <w:rPr>
          <w:rFonts w:ascii="楷体_GB2312" w:hAnsi="宋体" w:eastAsia="楷体_GB2312"/>
          <w:color w:val="000000" w:themeColor="text1"/>
          <w:kern w:val="3"/>
        </w:rPr>
      </w:pPr>
      <w:bookmarkStart w:id="1992" w:name="_Toc18625"/>
      <w:bookmarkStart w:id="1993" w:name="_Toc13737"/>
      <w:bookmarkStart w:id="1994" w:name="_Toc29954"/>
      <w:bookmarkStart w:id="1995" w:name="_Toc8355"/>
      <w:bookmarkStart w:id="1996" w:name="_Toc6683"/>
      <w:bookmarkStart w:id="1997" w:name="_Toc9272"/>
      <w:bookmarkStart w:id="1998" w:name="_Toc10405"/>
      <w:bookmarkStart w:id="1999" w:name="_Toc20485"/>
      <w:bookmarkStart w:id="2000" w:name="_Toc16170"/>
      <w:bookmarkStart w:id="2001" w:name="_Toc980"/>
      <w:bookmarkStart w:id="2002" w:name="_Toc23820"/>
      <w:bookmarkStart w:id="2003" w:name="_Toc10278_WPSOffice_Level2"/>
      <w:bookmarkStart w:id="2004" w:name="_Toc28853"/>
      <w:bookmarkStart w:id="2005" w:name="_Toc26114"/>
      <w:bookmarkStart w:id="2006" w:name="_Toc28914"/>
      <w:bookmarkStart w:id="2007" w:name="_Toc30005"/>
      <w:r>
        <w:rPr>
          <w:rFonts w:hint="eastAsia" w:ascii="楷体_GB2312" w:hAnsi="宋体" w:eastAsia="楷体_GB2312"/>
          <w:color w:val="000000" w:themeColor="text1"/>
          <w:kern w:val="3"/>
        </w:rPr>
        <w:t>6.3 安全对策措施及建议</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pPr>
        <w:pStyle w:val="74"/>
        <w:spacing w:line="500" w:lineRule="exact"/>
        <w:ind w:firstLine="560"/>
        <w:rPr>
          <w:rFonts w:ascii="Times New Roman" w:hAnsi="Times New Roman"/>
          <w:color w:val="000000" w:themeColor="text1"/>
        </w:rPr>
      </w:pPr>
      <w:r>
        <w:rPr>
          <w:rFonts w:ascii="Times New Roman" w:hAnsi="Times New Roman" w:eastAsiaTheme="minorEastAsia"/>
          <w:snapToGrid w:val="0"/>
          <w:color w:val="000000" w:themeColor="text1"/>
          <w:kern w:val="0"/>
          <w:szCs w:val="28"/>
        </w:rPr>
        <w:t>1</w:t>
      </w:r>
      <w:r>
        <w:rPr>
          <w:rFonts w:hint="eastAsia" w:ascii="Times New Roman" w:hAnsi="Times New Roman" w:eastAsiaTheme="minorEastAsia"/>
          <w:snapToGrid w:val="0"/>
          <w:color w:val="000000" w:themeColor="text1"/>
          <w:kern w:val="0"/>
          <w:szCs w:val="28"/>
        </w:rPr>
        <w:t>.</w:t>
      </w:r>
      <w:r>
        <w:rPr>
          <w:rFonts w:ascii="Times New Roman" w:hAnsi="Times New Roman" w:eastAsiaTheme="minorEastAsia"/>
          <w:color w:val="000000" w:themeColor="text1"/>
          <w:szCs w:val="28"/>
        </w:rPr>
        <w:t>企业应按整改计划及时整改现场检查、报告编制过程中发现的隐患</w:t>
      </w:r>
      <w:r>
        <w:rPr>
          <w:rFonts w:ascii="Times New Roman" w:hAnsi="Times New Roman"/>
          <w:color w:val="000000" w:themeColor="text1"/>
        </w:rPr>
        <w:t>。</w:t>
      </w:r>
    </w:p>
    <w:p>
      <w:pPr>
        <w:pStyle w:val="74"/>
        <w:spacing w:line="500" w:lineRule="exact"/>
        <w:ind w:firstLine="560"/>
        <w:rPr>
          <w:rFonts w:ascii="Times New Roman" w:hAnsi="Times New Roman" w:eastAsiaTheme="minorEastAsia"/>
          <w:color w:val="000000" w:themeColor="text1"/>
          <w:szCs w:val="28"/>
        </w:rPr>
      </w:pPr>
      <w:r>
        <w:rPr>
          <w:rFonts w:ascii="Times New Roman" w:hAnsi="Times New Roman"/>
          <w:color w:val="000000" w:themeColor="text1"/>
        </w:rPr>
        <w:t>2</w:t>
      </w:r>
      <w:r>
        <w:rPr>
          <w:rFonts w:hint="eastAsia" w:ascii="Times New Roman" w:hAnsi="Times New Roman"/>
          <w:color w:val="000000" w:themeColor="text1"/>
        </w:rPr>
        <w:t>.</w:t>
      </w:r>
      <w:r>
        <w:rPr>
          <w:rFonts w:ascii="Times New Roman" w:hAnsi="Times New Roman"/>
          <w:color w:val="000000" w:themeColor="text1"/>
        </w:rPr>
        <w:t>企业应结合</w:t>
      </w:r>
      <w:r>
        <w:rPr>
          <w:rFonts w:ascii="Times New Roman" w:hAnsi="Times New Roman" w:eastAsiaTheme="minorEastAsia"/>
          <w:color w:val="000000" w:themeColor="text1"/>
          <w:szCs w:val="28"/>
        </w:rPr>
        <w:t>该项目内、外周边已废弃、闲置装置、建筑（构）物现状，为确保甲醇储存安全，企业应</w:t>
      </w:r>
      <w:r>
        <w:rPr>
          <w:rFonts w:ascii="Times New Roman" w:hAnsi="Times New Roman"/>
          <w:color w:val="000000" w:themeColor="text1"/>
          <w:szCs w:val="28"/>
        </w:rPr>
        <w:t>加强项目区的安全管理，对甲醇储存、装卸区进行定期安全检查，及时整改存在的安全隐患，并保障安全投入。</w:t>
      </w:r>
    </w:p>
    <w:p>
      <w:pPr>
        <w:pStyle w:val="74"/>
        <w:spacing w:line="500" w:lineRule="exact"/>
        <w:ind w:firstLine="560"/>
        <w:rPr>
          <w:rFonts w:ascii="Times New Roman" w:hAnsi="Times New Roman" w:eastAsiaTheme="minorEastAsia"/>
          <w:color w:val="000000" w:themeColor="text1"/>
          <w:szCs w:val="28"/>
        </w:rPr>
      </w:pPr>
      <w:r>
        <w:rPr>
          <w:rFonts w:ascii="Times New Roman" w:hAnsi="Times New Roman" w:eastAsiaTheme="minorEastAsia"/>
          <w:snapToGrid w:val="0"/>
          <w:color w:val="000000" w:themeColor="text1"/>
          <w:kern w:val="0"/>
          <w:szCs w:val="28"/>
        </w:rPr>
        <w:t>3</w:t>
      </w:r>
      <w:r>
        <w:rPr>
          <w:rFonts w:hint="eastAsia" w:ascii="Times New Roman" w:hAnsi="Times New Roman" w:eastAsiaTheme="minorEastAsia"/>
          <w:snapToGrid w:val="0"/>
          <w:color w:val="000000" w:themeColor="text1"/>
          <w:kern w:val="0"/>
          <w:szCs w:val="28"/>
        </w:rPr>
        <w:t>.</w:t>
      </w:r>
      <w:r>
        <w:rPr>
          <w:rFonts w:ascii="Times New Roman" w:hAnsi="Times New Roman" w:eastAsiaTheme="minorEastAsia"/>
          <w:snapToGrid w:val="0"/>
          <w:color w:val="000000" w:themeColor="text1"/>
          <w:kern w:val="0"/>
          <w:szCs w:val="28"/>
        </w:rPr>
        <w:t>应对甲醇罐区、装卸区的消防器材进行定期检查，</w:t>
      </w:r>
      <w:r>
        <w:rPr>
          <w:rFonts w:ascii="Times New Roman" w:hAnsi="Times New Roman" w:eastAsiaTheme="minorEastAsia"/>
          <w:color w:val="000000" w:themeColor="text1"/>
          <w:szCs w:val="28"/>
        </w:rPr>
        <w:t>严禁圈占、埋压和挪用于各种消防设施、器材。各类消防器材应设置在明显和便于取用的地点，周围不准放物品和杂物，日常运营中确保消防设施完好有效。</w:t>
      </w:r>
    </w:p>
    <w:p>
      <w:pPr>
        <w:pStyle w:val="74"/>
        <w:spacing w:line="500" w:lineRule="exact"/>
        <w:ind w:firstLine="560"/>
        <w:rPr>
          <w:rFonts w:ascii="Times New Roman" w:hAnsi="Times New Roman" w:eastAsiaTheme="minorEastAsia"/>
          <w:color w:val="000000" w:themeColor="text1"/>
          <w:szCs w:val="28"/>
        </w:rPr>
      </w:pPr>
      <w:r>
        <w:rPr>
          <w:rFonts w:ascii="Times New Roman" w:hAnsi="Times New Roman" w:eastAsiaTheme="minorEastAsia"/>
          <w:color w:val="000000" w:themeColor="text1"/>
          <w:szCs w:val="28"/>
        </w:rPr>
        <w:t>4</w:t>
      </w:r>
      <w:r>
        <w:rPr>
          <w:rFonts w:hint="eastAsia" w:ascii="Times New Roman" w:hAnsi="Times New Roman" w:eastAsiaTheme="minorEastAsia"/>
          <w:color w:val="000000" w:themeColor="text1"/>
          <w:szCs w:val="28"/>
        </w:rPr>
        <w:t>.</w:t>
      </w:r>
      <w:r>
        <w:rPr>
          <w:rFonts w:ascii="Times New Roman" w:hAnsi="Times New Roman" w:eastAsiaTheme="minorEastAsia"/>
          <w:color w:val="000000" w:themeColor="text1"/>
          <w:szCs w:val="28"/>
        </w:rPr>
        <w:t>公司应定期请有资质的防雷装置检测单位对甲醇罐区、装卸区的防雷设施进行检测，确保防雷装置处于完好、有效状态。</w:t>
      </w:r>
    </w:p>
    <w:p>
      <w:pPr>
        <w:pStyle w:val="74"/>
        <w:spacing w:line="500" w:lineRule="exact"/>
        <w:ind w:firstLine="560"/>
        <w:rPr>
          <w:rFonts w:ascii="Times New Roman" w:hAnsi="Times New Roman" w:eastAsiaTheme="minorEastAsia"/>
          <w:color w:val="000000" w:themeColor="text1"/>
          <w:szCs w:val="28"/>
        </w:rPr>
      </w:pPr>
      <w:r>
        <w:rPr>
          <w:rFonts w:ascii="Times New Roman" w:hAnsi="Times New Roman" w:eastAsiaTheme="minorEastAsia"/>
          <w:color w:val="000000" w:themeColor="text1"/>
          <w:szCs w:val="28"/>
        </w:rPr>
        <w:t>5</w:t>
      </w:r>
      <w:r>
        <w:rPr>
          <w:rFonts w:hint="eastAsia" w:ascii="Times New Roman" w:hAnsi="Times New Roman" w:eastAsiaTheme="minorEastAsia"/>
          <w:color w:val="000000" w:themeColor="text1"/>
          <w:szCs w:val="28"/>
        </w:rPr>
        <w:t>.企业应依法给从业人员购买工伤保险，</w:t>
      </w:r>
      <w:r>
        <w:rPr>
          <w:rFonts w:ascii="Times New Roman" w:hAnsi="Times New Roman" w:eastAsiaTheme="minorEastAsia"/>
          <w:color w:val="000000" w:themeColor="text1"/>
          <w:szCs w:val="28"/>
        </w:rPr>
        <w:t>建议配备注册安全工程师从事安全管理工作。</w:t>
      </w:r>
    </w:p>
    <w:p>
      <w:pPr>
        <w:pStyle w:val="74"/>
        <w:spacing w:line="500" w:lineRule="exact"/>
        <w:ind w:firstLine="560"/>
        <w:rPr>
          <w:rFonts w:ascii="Times New Roman" w:hAnsi="Times New Roman" w:eastAsiaTheme="minorEastAsia"/>
          <w:color w:val="000000" w:themeColor="text1"/>
          <w:szCs w:val="28"/>
        </w:rPr>
      </w:pPr>
      <w:r>
        <w:rPr>
          <w:rFonts w:ascii="Times New Roman" w:hAnsi="Times New Roman" w:eastAsiaTheme="minorEastAsia"/>
          <w:color w:val="000000" w:themeColor="text1"/>
          <w:szCs w:val="28"/>
        </w:rPr>
        <w:t>6</w:t>
      </w:r>
      <w:r>
        <w:rPr>
          <w:rFonts w:hint="eastAsia" w:ascii="Times New Roman" w:hAnsi="Times New Roman" w:eastAsiaTheme="minorEastAsia"/>
          <w:color w:val="000000" w:themeColor="text1"/>
          <w:szCs w:val="28"/>
        </w:rPr>
        <w:t>.</w:t>
      </w:r>
      <w:r>
        <w:rPr>
          <w:rFonts w:ascii="Times New Roman" w:hAnsi="Times New Roman" w:eastAsiaTheme="minorEastAsia"/>
          <w:color w:val="000000" w:themeColor="text1"/>
          <w:szCs w:val="28"/>
        </w:rPr>
        <w:t>完善甲醇装、卸区停车用车挡，以防由于溜车而引发安全事故。</w:t>
      </w:r>
    </w:p>
    <w:p>
      <w:pPr>
        <w:tabs>
          <w:tab w:val="left" w:pos="180"/>
        </w:tabs>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7</w:t>
      </w:r>
      <w:r>
        <w:rPr>
          <w:rFonts w:hint="eastAsia" w:eastAsiaTheme="minorEastAsia"/>
          <w:color w:val="000000" w:themeColor="text1"/>
          <w:sz w:val="28"/>
          <w:szCs w:val="28"/>
        </w:rPr>
        <w:t>.</w:t>
      </w:r>
      <w:r>
        <w:rPr>
          <w:rFonts w:eastAsiaTheme="minorEastAsia"/>
          <w:bCs/>
          <w:color w:val="000000" w:themeColor="text1"/>
          <w:sz w:val="28"/>
          <w:szCs w:val="28"/>
        </w:rPr>
        <w:t>应建立健全安全培训工作制度，加强项目作业人员的安全教育培训，应对甲醇的理化特性及其安全知识和消防、应急能力等方面进行培训，并定期进行考核</w:t>
      </w:r>
      <w:r>
        <w:rPr>
          <w:rFonts w:eastAsiaTheme="minorEastAsia"/>
          <w:color w:val="000000" w:themeColor="text1"/>
          <w:sz w:val="28"/>
          <w:szCs w:val="28"/>
        </w:rPr>
        <w:t>。</w:t>
      </w:r>
    </w:p>
    <w:p>
      <w:pPr>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8</w:t>
      </w:r>
      <w:r>
        <w:rPr>
          <w:rFonts w:hint="eastAsia" w:eastAsiaTheme="minorEastAsia"/>
          <w:color w:val="000000" w:themeColor="text1"/>
          <w:sz w:val="28"/>
          <w:szCs w:val="28"/>
        </w:rPr>
        <w:t>.</w:t>
      </w:r>
      <w:r>
        <w:rPr>
          <w:rFonts w:eastAsiaTheme="minorEastAsia"/>
          <w:color w:val="000000" w:themeColor="text1"/>
          <w:sz w:val="28"/>
          <w:szCs w:val="28"/>
        </w:rPr>
        <w:t>根据《云南省安全生产条例》（云南省第十二届人民代表大会常务委员会63号公告）的要求，企业应</w:t>
      </w:r>
      <w:r>
        <w:rPr>
          <w:bCs/>
          <w:color w:val="000000" w:themeColor="text1"/>
          <w:sz w:val="28"/>
          <w:szCs w:val="28"/>
        </w:rPr>
        <w:t>补充完善甲醇储存及装卸场所安全管理制度、危险作业及劳动防护用品管理制度、安全风险分级管控制度等</w:t>
      </w:r>
      <w:r>
        <w:rPr>
          <w:rFonts w:eastAsiaTheme="minorEastAsia"/>
          <w:color w:val="000000" w:themeColor="text1"/>
          <w:sz w:val="28"/>
          <w:szCs w:val="28"/>
        </w:rPr>
        <w:t>。</w:t>
      </w:r>
    </w:p>
    <w:p>
      <w:pPr>
        <w:pStyle w:val="25"/>
        <w:spacing w:line="500" w:lineRule="exact"/>
        <w:ind w:firstLine="560" w:firstLineChars="200"/>
        <w:jc w:val="both"/>
        <w:rPr>
          <w:rFonts w:eastAsiaTheme="minorEastAsia"/>
          <w:color w:val="000000" w:themeColor="text1"/>
          <w:sz w:val="28"/>
          <w:szCs w:val="28"/>
        </w:rPr>
      </w:pPr>
      <w:r>
        <w:rPr>
          <w:rFonts w:eastAsiaTheme="minorEastAsia"/>
          <w:color w:val="000000" w:themeColor="text1"/>
          <w:sz w:val="28"/>
          <w:szCs w:val="28"/>
        </w:rPr>
        <w:t>9</w:t>
      </w:r>
      <w:r>
        <w:rPr>
          <w:rFonts w:hint="eastAsia" w:eastAsiaTheme="minorEastAsia"/>
          <w:color w:val="000000" w:themeColor="text1"/>
          <w:sz w:val="28"/>
          <w:szCs w:val="28"/>
        </w:rPr>
        <w:t>.</w:t>
      </w:r>
      <w:r>
        <w:rPr>
          <w:rFonts w:eastAsiaTheme="minorEastAsia"/>
          <w:color w:val="000000" w:themeColor="text1"/>
          <w:sz w:val="28"/>
          <w:szCs w:val="28"/>
        </w:rPr>
        <w:t>企业应根据《中华人民共和国安全生产法》（中华人民共和国主席令第八十八号）的要求建立健全全员安全生产责任制，构建安全风险分级管控及隐患排查治理机制，加强安全生产标准化的建设。</w:t>
      </w:r>
    </w:p>
    <w:p>
      <w:pPr>
        <w:pStyle w:val="25"/>
        <w:spacing w:line="500" w:lineRule="exact"/>
        <w:ind w:firstLine="560" w:firstLineChars="200"/>
        <w:jc w:val="both"/>
        <w:rPr>
          <w:color w:val="000000" w:themeColor="text1"/>
          <w:sz w:val="28"/>
          <w:szCs w:val="28"/>
        </w:rPr>
      </w:pPr>
      <w:r>
        <w:rPr>
          <w:rFonts w:eastAsiaTheme="minorEastAsia"/>
          <w:color w:val="000000" w:themeColor="text1"/>
          <w:sz w:val="28"/>
          <w:szCs w:val="28"/>
        </w:rPr>
        <w:t>10</w:t>
      </w:r>
      <w:r>
        <w:rPr>
          <w:rFonts w:hint="eastAsia" w:eastAsiaTheme="minorEastAsia"/>
          <w:color w:val="000000" w:themeColor="text1"/>
          <w:sz w:val="28"/>
          <w:szCs w:val="28"/>
        </w:rPr>
        <w:t>.</w:t>
      </w:r>
      <w:r>
        <w:rPr>
          <w:color w:val="000000" w:themeColor="text1"/>
          <w:sz w:val="28"/>
          <w:szCs w:val="28"/>
        </w:rPr>
        <w:t>企业应根据</w:t>
      </w:r>
      <w:r>
        <w:rPr>
          <w:color w:val="000000" w:themeColor="text1"/>
          <w:sz w:val="28"/>
          <w:szCs w:val="28"/>
          <w:shd w:val="clear" w:color="auto" w:fill="FFFFFF"/>
        </w:rPr>
        <w:t>《危险化学品经营许可证管理办法》（国家安全生产监督管理总局令第55号）的要求，企业主要负责人和安全生产管理人员具备与本企业危险化学品经营活动相适应的安全生产知识和管理能力，</w:t>
      </w:r>
      <w:r>
        <w:rPr>
          <w:color w:val="000000" w:themeColor="text1"/>
          <w:sz w:val="28"/>
          <w:szCs w:val="28"/>
        </w:rPr>
        <w:t>专职安全生产管理人员具备国民教育化工化学类或者安全工程类中等职业教育以上学历，或者化工化学类中级以上专业技术职称。</w:t>
      </w:r>
    </w:p>
    <w:p>
      <w:pPr>
        <w:pStyle w:val="74"/>
        <w:spacing w:line="500" w:lineRule="exact"/>
        <w:ind w:firstLine="560"/>
        <w:rPr>
          <w:rFonts w:ascii="Times New Roman" w:hAnsi="Times New Roman"/>
          <w:color w:val="000000" w:themeColor="text1"/>
          <w:szCs w:val="28"/>
        </w:rPr>
      </w:pPr>
      <w:r>
        <w:rPr>
          <w:rFonts w:ascii="Times New Roman" w:hAnsi="Times New Roman"/>
          <w:color w:val="000000" w:themeColor="text1"/>
          <w:szCs w:val="28"/>
        </w:rPr>
        <w:t>11</w:t>
      </w:r>
      <w:r>
        <w:rPr>
          <w:rFonts w:hint="eastAsia" w:ascii="Times New Roman" w:hAnsi="Times New Roman"/>
          <w:color w:val="000000" w:themeColor="text1"/>
          <w:szCs w:val="28"/>
        </w:rPr>
        <w:t>.</w:t>
      </w:r>
      <w:r>
        <w:rPr>
          <w:rFonts w:ascii="Times New Roman" w:hAnsi="Times New Roman"/>
          <w:color w:val="000000" w:themeColor="text1"/>
          <w:szCs w:val="28"/>
        </w:rPr>
        <w:t>严格执行特殊作业安全管理制度，需进行</w:t>
      </w:r>
      <w:r>
        <w:rPr>
          <w:rFonts w:ascii="Times New Roman" w:hAnsi="Times New Roman" w:eastAsiaTheme="minorEastAsia"/>
          <w:color w:val="000000" w:themeColor="text1"/>
          <w:szCs w:val="28"/>
        </w:rPr>
        <w:t>检、维修作业时，特别是在甲醇罐区、装卸区进行动火作业等时，应加强现场作业安全，在作业现场设置安全警戒线、警示标识、灭火器以及应急救援物资等，根据</w:t>
      </w:r>
      <w:r>
        <w:rPr>
          <w:rFonts w:hint="eastAsia" w:ascii="Times New Roman" w:hAnsi="Times New Roman" w:eastAsiaTheme="minorEastAsia"/>
          <w:color w:val="000000" w:themeColor="text1"/>
          <w:szCs w:val="28"/>
          <w:lang w:val="en-US" w:eastAsia="zh-CN"/>
        </w:rPr>
        <w:t>规范</w:t>
      </w:r>
      <w:r>
        <w:rPr>
          <w:rFonts w:ascii="Times New Roman" w:hAnsi="Times New Roman" w:eastAsiaTheme="minorEastAsia"/>
          <w:color w:val="000000" w:themeColor="text1"/>
          <w:szCs w:val="28"/>
        </w:rPr>
        <w:t>的要求严格执行审批手续，同时采取一定的安全防范措施，加强特殊作业过程的安全管理。</w:t>
      </w:r>
    </w:p>
    <w:p>
      <w:pPr>
        <w:pStyle w:val="74"/>
        <w:spacing w:line="500" w:lineRule="exact"/>
        <w:ind w:firstLine="560"/>
        <w:rPr>
          <w:rFonts w:ascii="Times New Roman" w:hAnsi="Times New Roman"/>
          <w:color w:val="000000" w:themeColor="text1"/>
          <w:szCs w:val="28"/>
        </w:rPr>
      </w:pPr>
      <w:r>
        <w:rPr>
          <w:rFonts w:ascii="Times New Roman" w:hAnsi="Times New Roman"/>
          <w:color w:val="000000" w:themeColor="text1"/>
        </w:rPr>
        <w:t>12</w:t>
      </w:r>
      <w:r>
        <w:rPr>
          <w:rFonts w:hint="eastAsia" w:ascii="Times New Roman" w:hAnsi="Times New Roman"/>
          <w:color w:val="000000" w:themeColor="text1"/>
        </w:rPr>
        <w:t>.</w:t>
      </w:r>
      <w:r>
        <w:rPr>
          <w:rFonts w:ascii="Times New Roman" w:hAnsi="Times New Roman"/>
          <w:color w:val="000000" w:themeColor="text1"/>
        </w:rPr>
        <w:t>严格执行各项规章制度及操作规程，</w:t>
      </w:r>
      <w:r>
        <w:rPr>
          <w:rFonts w:ascii="Times New Roman" w:hAnsi="Times New Roman"/>
          <w:color w:val="000000" w:themeColor="text1"/>
          <w:szCs w:val="28"/>
        </w:rPr>
        <w:t>将各项制度发放到人员，规范作业人员的安全行为，消除侥幸心理。</w:t>
      </w:r>
    </w:p>
    <w:p>
      <w:pPr>
        <w:pStyle w:val="74"/>
        <w:spacing w:line="500" w:lineRule="exact"/>
        <w:ind w:firstLine="560"/>
        <w:rPr>
          <w:rFonts w:ascii="Times New Roman" w:hAnsi="Times New Roman" w:eastAsiaTheme="minorEastAsia"/>
          <w:color w:val="000000" w:themeColor="text1"/>
          <w:szCs w:val="28"/>
        </w:rPr>
      </w:pPr>
      <w:r>
        <w:rPr>
          <w:rFonts w:ascii="Times New Roman" w:hAnsi="Times New Roman" w:eastAsiaTheme="minorEastAsia"/>
          <w:color w:val="000000" w:themeColor="text1"/>
          <w:szCs w:val="28"/>
        </w:rPr>
        <w:t>13</w:t>
      </w:r>
      <w:r>
        <w:rPr>
          <w:rFonts w:hint="eastAsia" w:ascii="Times New Roman" w:hAnsi="Times New Roman" w:eastAsiaTheme="minorEastAsia"/>
          <w:color w:val="000000" w:themeColor="text1"/>
          <w:szCs w:val="28"/>
        </w:rPr>
        <w:t>.</w:t>
      </w:r>
      <w:r>
        <w:rPr>
          <w:rFonts w:ascii="Times New Roman" w:hAnsi="Times New Roman"/>
          <w:color w:val="000000" w:themeColor="text1"/>
          <w:szCs w:val="28"/>
        </w:rPr>
        <w:t>加强公司办公室等处人员用火管理，严禁违</w:t>
      </w:r>
      <w:r>
        <w:rPr>
          <w:rFonts w:ascii="Times New Roman" w:hAnsi="Times New Roman" w:eastAsiaTheme="minorEastAsia"/>
          <w:color w:val="000000" w:themeColor="text1"/>
          <w:szCs w:val="28"/>
        </w:rPr>
        <w:t>章用火。日常运行中应加强甲醇罐区、装卸区防泄漏及周边相邻区域的防火、防爆等管理工作。</w:t>
      </w:r>
    </w:p>
    <w:p>
      <w:pPr>
        <w:pStyle w:val="74"/>
        <w:spacing w:line="500" w:lineRule="exact"/>
        <w:ind w:firstLine="560"/>
        <w:rPr>
          <w:rFonts w:ascii="Times New Roman" w:hAnsi="Times New Roman" w:eastAsiaTheme="minorEastAsia"/>
          <w:color w:val="000000" w:themeColor="text1"/>
          <w:szCs w:val="28"/>
        </w:rPr>
      </w:pPr>
      <w:r>
        <w:rPr>
          <w:rFonts w:ascii="Times New Roman" w:hAnsi="Times New Roman" w:eastAsiaTheme="minorEastAsia"/>
          <w:color w:val="000000" w:themeColor="text1"/>
          <w:szCs w:val="28"/>
        </w:rPr>
        <w:t>14</w:t>
      </w:r>
      <w:r>
        <w:rPr>
          <w:rFonts w:hint="eastAsia" w:ascii="Times New Roman" w:hAnsi="Times New Roman" w:eastAsiaTheme="minorEastAsia"/>
          <w:color w:val="000000" w:themeColor="text1"/>
          <w:szCs w:val="28"/>
        </w:rPr>
        <w:t>.</w:t>
      </w:r>
      <w:r>
        <w:rPr>
          <w:rFonts w:ascii="Times New Roman" w:hAnsi="Times New Roman" w:eastAsiaTheme="minorEastAsia"/>
          <w:color w:val="000000" w:themeColor="text1"/>
          <w:szCs w:val="28"/>
        </w:rPr>
        <w:t>处于爆炸危险区域内的电气设备应采取防爆型，加强甲醇经营储存系统电气设备的日常管理，定期检查并及时更换老化、受损的电气线路、设备。</w:t>
      </w:r>
    </w:p>
    <w:p>
      <w:pPr>
        <w:pStyle w:val="74"/>
        <w:spacing w:line="500" w:lineRule="exact"/>
        <w:ind w:firstLine="560"/>
        <w:rPr>
          <w:rFonts w:ascii="Times New Roman" w:hAnsi="Times New Roman" w:eastAsiaTheme="minorEastAsia"/>
          <w:snapToGrid w:val="0"/>
          <w:color w:val="000000" w:themeColor="text1"/>
          <w:kern w:val="0"/>
          <w:szCs w:val="28"/>
        </w:rPr>
      </w:pPr>
      <w:r>
        <w:rPr>
          <w:rFonts w:ascii="Times New Roman" w:hAnsi="Times New Roman" w:eastAsiaTheme="minorEastAsia"/>
          <w:color w:val="000000" w:themeColor="text1"/>
          <w:szCs w:val="28"/>
        </w:rPr>
        <w:t>15</w:t>
      </w:r>
      <w:r>
        <w:rPr>
          <w:rFonts w:hint="eastAsia" w:ascii="Times New Roman" w:hAnsi="Times New Roman" w:eastAsiaTheme="minorEastAsia"/>
          <w:color w:val="000000" w:themeColor="text1"/>
          <w:szCs w:val="28"/>
        </w:rPr>
        <w:t>.</w:t>
      </w:r>
      <w:r>
        <w:rPr>
          <w:rFonts w:ascii="Times New Roman" w:hAnsi="Times New Roman" w:eastAsiaTheme="minorEastAsia"/>
          <w:color w:val="000000" w:themeColor="text1"/>
          <w:szCs w:val="28"/>
        </w:rPr>
        <w:t>严禁在甲醇罐区、装卸区现场吸烟、携带火</w:t>
      </w:r>
      <w:r>
        <w:rPr>
          <w:rFonts w:ascii="Times New Roman" w:hAnsi="Times New Roman"/>
          <w:color w:val="000000" w:themeColor="text1"/>
          <w:szCs w:val="28"/>
        </w:rPr>
        <w:t>种，作业人员应佩戴相应的劳动防护用品，严禁穿带钉皮鞋和易产生静电的衣物，操作过程不得使用能产生火花的工具</w:t>
      </w:r>
      <w:r>
        <w:rPr>
          <w:rFonts w:ascii="Times New Roman" w:hAnsi="Times New Roman" w:eastAsiaTheme="minorEastAsia"/>
          <w:snapToGrid w:val="0"/>
          <w:color w:val="000000" w:themeColor="text1"/>
          <w:kern w:val="0"/>
          <w:szCs w:val="28"/>
        </w:rPr>
        <w:t>。</w:t>
      </w:r>
    </w:p>
    <w:p>
      <w:pPr>
        <w:pStyle w:val="74"/>
        <w:spacing w:line="500" w:lineRule="exact"/>
        <w:ind w:firstLine="560"/>
        <w:rPr>
          <w:rFonts w:ascii="Times New Roman" w:hAnsi="Times New Roman" w:eastAsiaTheme="minorEastAsia"/>
          <w:snapToGrid w:val="0"/>
          <w:color w:val="000000" w:themeColor="text1"/>
          <w:kern w:val="0"/>
          <w:szCs w:val="28"/>
        </w:rPr>
      </w:pPr>
      <w:r>
        <w:rPr>
          <w:rFonts w:ascii="Times New Roman" w:hAnsi="Times New Roman" w:eastAsiaTheme="minorEastAsia"/>
          <w:snapToGrid w:val="0"/>
          <w:color w:val="000000" w:themeColor="text1"/>
          <w:kern w:val="0"/>
          <w:szCs w:val="28"/>
        </w:rPr>
        <w:t>16</w:t>
      </w:r>
      <w:r>
        <w:rPr>
          <w:rFonts w:hint="eastAsia" w:ascii="Times New Roman" w:hAnsi="Times New Roman" w:eastAsiaTheme="minorEastAsia"/>
          <w:snapToGrid w:val="0"/>
          <w:color w:val="000000" w:themeColor="text1"/>
          <w:kern w:val="0"/>
          <w:szCs w:val="28"/>
        </w:rPr>
        <w:t>.</w:t>
      </w:r>
      <w:r>
        <w:rPr>
          <w:rFonts w:ascii="Times New Roman" w:hAnsi="Times New Roman" w:eastAsiaTheme="minorEastAsia"/>
          <w:snapToGrid w:val="0"/>
          <w:color w:val="000000" w:themeColor="text1"/>
          <w:kern w:val="0"/>
          <w:szCs w:val="28"/>
        </w:rPr>
        <w:t>建议在配备绝缘手套、绝缘鞋、绝缘杆等防触电设施，并定期维护保养。</w:t>
      </w:r>
    </w:p>
    <w:p>
      <w:pPr>
        <w:pStyle w:val="74"/>
        <w:spacing w:line="500" w:lineRule="exact"/>
        <w:ind w:firstLine="560"/>
        <w:rPr>
          <w:rFonts w:ascii="Times New Roman" w:hAnsi="Times New Roman" w:eastAsiaTheme="minorEastAsia"/>
          <w:snapToGrid w:val="0"/>
          <w:color w:val="000000" w:themeColor="text1"/>
          <w:kern w:val="0"/>
          <w:szCs w:val="28"/>
        </w:rPr>
      </w:pPr>
      <w:r>
        <w:rPr>
          <w:rFonts w:ascii="Times New Roman" w:hAnsi="Times New Roman" w:eastAsiaTheme="minorEastAsia"/>
          <w:snapToGrid w:val="0"/>
          <w:color w:val="000000" w:themeColor="text1"/>
          <w:kern w:val="0"/>
          <w:szCs w:val="28"/>
        </w:rPr>
        <w:t>17</w:t>
      </w:r>
      <w:r>
        <w:rPr>
          <w:rFonts w:hint="eastAsia" w:ascii="Times New Roman" w:hAnsi="Times New Roman" w:eastAsiaTheme="minorEastAsia"/>
          <w:snapToGrid w:val="0"/>
          <w:color w:val="000000" w:themeColor="text1"/>
          <w:kern w:val="0"/>
          <w:szCs w:val="28"/>
        </w:rPr>
        <w:t>.</w:t>
      </w:r>
      <w:r>
        <w:rPr>
          <w:rFonts w:ascii="Times New Roman" w:hAnsi="Times New Roman" w:eastAsiaTheme="minorEastAsia"/>
          <w:snapToGrid w:val="0"/>
          <w:color w:val="000000" w:themeColor="text1"/>
          <w:kern w:val="0"/>
          <w:szCs w:val="28"/>
        </w:rPr>
        <w:t>应保持甲醇经营储存系统各场所整洁，日常运营中严禁占用各区通道，保持各安全出入口通畅。</w:t>
      </w:r>
    </w:p>
    <w:p>
      <w:pPr>
        <w:pStyle w:val="74"/>
        <w:spacing w:line="500" w:lineRule="exact"/>
        <w:ind w:firstLine="560"/>
        <w:rPr>
          <w:rFonts w:ascii="Times New Roman" w:hAnsi="Times New Roman" w:eastAsiaTheme="minorEastAsia"/>
          <w:snapToGrid w:val="0"/>
          <w:color w:val="000000" w:themeColor="text1"/>
          <w:kern w:val="0"/>
          <w:szCs w:val="28"/>
        </w:rPr>
      </w:pPr>
      <w:r>
        <w:rPr>
          <w:rFonts w:ascii="Times New Roman" w:hAnsi="Times New Roman" w:eastAsiaTheme="minorEastAsia"/>
          <w:color w:val="000000" w:themeColor="text1"/>
          <w:szCs w:val="28"/>
        </w:rPr>
        <w:t>18</w:t>
      </w:r>
      <w:r>
        <w:rPr>
          <w:rFonts w:hint="eastAsia" w:ascii="Times New Roman" w:hAnsi="Times New Roman" w:eastAsiaTheme="minorEastAsia"/>
          <w:color w:val="000000" w:themeColor="text1"/>
          <w:szCs w:val="28"/>
        </w:rPr>
        <w:t>.</w:t>
      </w:r>
      <w:r>
        <w:rPr>
          <w:rFonts w:ascii="Times New Roman" w:hAnsi="Times New Roman" w:eastAsiaTheme="minorEastAsia"/>
          <w:color w:val="000000" w:themeColor="text1"/>
          <w:szCs w:val="28"/>
        </w:rPr>
        <w:t>甲醇经营储存系统涉及的劳动防护用品的更换选择应执行《</w:t>
      </w:r>
      <w:r>
        <w:rPr>
          <w:rFonts w:ascii="Times New Roman" w:hAnsi="Times New Roman" w:eastAsiaTheme="minorEastAsia"/>
          <w:color w:val="000000" w:themeColor="text1"/>
        </w:rPr>
        <w:t>国家安全监管总局办公厅关于修改用人单位劳动防护用品管理规范的通知</w:t>
      </w:r>
      <w:r>
        <w:rPr>
          <w:rFonts w:ascii="Times New Roman" w:hAnsi="Times New Roman" w:eastAsiaTheme="minorEastAsia"/>
          <w:color w:val="000000" w:themeColor="text1"/>
          <w:szCs w:val="28"/>
        </w:rPr>
        <w:t>》（</w:t>
      </w:r>
      <w:r>
        <w:rPr>
          <w:rFonts w:ascii="Times New Roman" w:hAnsi="Times New Roman" w:eastAsiaTheme="minorEastAsia"/>
          <w:color w:val="000000" w:themeColor="text1"/>
        </w:rPr>
        <w:t>安监总厅安健〔2018〕3号</w:t>
      </w:r>
      <w:r>
        <w:rPr>
          <w:rFonts w:ascii="Times New Roman" w:hAnsi="Times New Roman" w:eastAsiaTheme="minorEastAsia"/>
          <w:color w:val="000000" w:themeColor="text1"/>
          <w:szCs w:val="28"/>
        </w:rPr>
        <w:t>）的要求。</w:t>
      </w:r>
    </w:p>
    <w:p>
      <w:pPr>
        <w:pStyle w:val="74"/>
        <w:spacing w:line="500" w:lineRule="exact"/>
        <w:ind w:firstLine="560"/>
        <w:rPr>
          <w:rFonts w:ascii="Times New Roman" w:hAnsi="Times New Roman"/>
          <w:color w:val="000000" w:themeColor="text1"/>
          <w:szCs w:val="28"/>
        </w:rPr>
      </w:pPr>
      <w:r>
        <w:rPr>
          <w:rFonts w:ascii="Times New Roman" w:hAnsi="Times New Roman" w:eastAsiaTheme="minorEastAsia"/>
          <w:color w:val="000000" w:themeColor="text1"/>
          <w:szCs w:val="28"/>
        </w:rPr>
        <w:t>19</w:t>
      </w:r>
      <w:r>
        <w:rPr>
          <w:rFonts w:hint="eastAsia" w:ascii="Times New Roman" w:hAnsi="Times New Roman" w:eastAsiaTheme="minorEastAsia"/>
          <w:color w:val="000000" w:themeColor="text1"/>
          <w:szCs w:val="28"/>
        </w:rPr>
        <w:t>.</w:t>
      </w:r>
      <w:r>
        <w:rPr>
          <w:rFonts w:ascii="Times New Roman" w:hAnsi="Times New Roman"/>
          <w:color w:val="000000" w:themeColor="text1"/>
          <w:szCs w:val="28"/>
        </w:rPr>
        <w:t>在事故应急管理方面应采取以下安全管理措施：</w:t>
      </w:r>
    </w:p>
    <w:p>
      <w:pPr>
        <w:spacing w:line="500" w:lineRule="exact"/>
        <w:ind w:firstLine="560" w:firstLineChars="200"/>
        <w:rPr>
          <w:rFonts w:eastAsiaTheme="minorEastAsia"/>
          <w:color w:val="000000" w:themeColor="text1"/>
          <w:sz w:val="28"/>
          <w:szCs w:val="28"/>
        </w:rPr>
      </w:pPr>
      <w:r>
        <w:rPr>
          <w:rFonts w:hint="eastAsia"/>
          <w:color w:val="000000" w:themeColor="text1"/>
          <w:sz w:val="28"/>
          <w:szCs w:val="28"/>
        </w:rPr>
        <w:t>（1）</w:t>
      </w:r>
      <w:r>
        <w:rPr>
          <w:color w:val="000000" w:themeColor="text1"/>
          <w:sz w:val="28"/>
          <w:szCs w:val="28"/>
        </w:rPr>
        <w:t>企业</w:t>
      </w:r>
      <w:r>
        <w:rPr>
          <w:rFonts w:eastAsiaTheme="minorEastAsia"/>
          <w:color w:val="000000" w:themeColor="text1"/>
          <w:sz w:val="28"/>
          <w:szCs w:val="28"/>
        </w:rPr>
        <w:t>应按照《生产经营单位生产安全事故应急预案编制导则》（GB/T 29639-2020）的要求预案进行修订。</w:t>
      </w:r>
    </w:p>
    <w:p>
      <w:pPr>
        <w:spacing w:line="500" w:lineRule="exact"/>
        <w:ind w:firstLine="560" w:firstLineChars="200"/>
        <w:rPr>
          <w:color w:val="000000" w:themeColor="text1"/>
          <w:sz w:val="28"/>
          <w:szCs w:val="28"/>
        </w:rPr>
      </w:pPr>
      <w:r>
        <w:rPr>
          <w:rFonts w:hint="eastAsia"/>
          <w:color w:val="000000" w:themeColor="text1"/>
          <w:sz w:val="28"/>
          <w:szCs w:val="28"/>
        </w:rPr>
        <w:t>（2）</w:t>
      </w:r>
      <w:r>
        <w:rPr>
          <w:rFonts w:eastAsiaTheme="minorEastAsia"/>
          <w:color w:val="000000" w:themeColor="text1"/>
          <w:sz w:val="28"/>
          <w:szCs w:val="28"/>
        </w:rPr>
        <w:t>定期进行事故应急预案演练、评估工作，并进行记录。</w:t>
      </w:r>
    </w:p>
    <w:p>
      <w:pPr>
        <w:spacing w:line="500" w:lineRule="exact"/>
        <w:ind w:firstLine="560" w:firstLineChars="200"/>
        <w:rPr>
          <w:rFonts w:eastAsiaTheme="minorEastAsia"/>
          <w:color w:val="000000" w:themeColor="text1"/>
          <w:kern w:val="3"/>
          <w:sz w:val="28"/>
        </w:rPr>
      </w:pPr>
      <w:r>
        <w:rPr>
          <w:rFonts w:hint="eastAsia"/>
          <w:color w:val="000000" w:themeColor="text1"/>
          <w:sz w:val="28"/>
          <w:szCs w:val="28"/>
        </w:rPr>
        <w:t>（3）</w:t>
      </w:r>
      <w:r>
        <w:rPr>
          <w:rFonts w:eastAsiaTheme="minorEastAsia"/>
          <w:color w:val="000000" w:themeColor="text1"/>
          <w:kern w:val="0"/>
          <w:sz w:val="28"/>
          <w:szCs w:val="28"/>
        </w:rPr>
        <w:t>公司内应急救援人员应经培训合格后参加应急救援工作，以</w:t>
      </w:r>
      <w:r>
        <w:rPr>
          <w:color w:val="000000" w:themeColor="text1"/>
          <w:sz w:val="28"/>
          <w:szCs w:val="28"/>
        </w:rPr>
        <w:t>进一步提高公司应急救援能力。</w:t>
      </w:r>
    </w:p>
    <w:p>
      <w:pPr>
        <w:spacing w:line="500" w:lineRule="exact"/>
        <w:ind w:firstLine="560" w:firstLineChars="200"/>
        <w:rPr>
          <w:color w:val="000000" w:themeColor="text1"/>
          <w:sz w:val="28"/>
          <w:szCs w:val="28"/>
        </w:rPr>
      </w:pPr>
      <w:r>
        <w:rPr>
          <w:rFonts w:hint="eastAsia"/>
          <w:color w:val="000000" w:themeColor="text1"/>
          <w:sz w:val="28"/>
          <w:szCs w:val="28"/>
        </w:rPr>
        <w:t>（4）</w:t>
      </w:r>
      <w:r>
        <w:rPr>
          <w:color w:val="000000" w:themeColor="text1"/>
          <w:sz w:val="28"/>
          <w:szCs w:val="28"/>
        </w:rPr>
        <w:t>应对从业人员进行应急教育和培训，保证从业人员具备必要的应急知识，掌握风险防范技能和事故应急措施。</w:t>
      </w:r>
    </w:p>
    <w:p>
      <w:pPr>
        <w:spacing w:line="500" w:lineRule="exact"/>
        <w:ind w:firstLine="560" w:firstLineChars="200"/>
        <w:rPr>
          <w:color w:val="000000" w:themeColor="text1"/>
          <w:sz w:val="28"/>
          <w:szCs w:val="28"/>
        </w:rPr>
      </w:pPr>
      <w:r>
        <w:rPr>
          <w:rFonts w:hint="eastAsia"/>
          <w:color w:val="000000" w:themeColor="text1"/>
          <w:sz w:val="28"/>
          <w:szCs w:val="28"/>
        </w:rPr>
        <w:t>（5）</w:t>
      </w:r>
      <w:r>
        <w:rPr>
          <w:color w:val="000000" w:themeColor="text1"/>
          <w:sz w:val="28"/>
          <w:szCs w:val="28"/>
        </w:rPr>
        <w:t>根据《生产安全事故应急条例》（中华人民共和国国务院令 第708号）的要求，应建立应急值班制度，成立应急处置技术组，配备应急值班人员，实行24小时应急值班。</w:t>
      </w:r>
    </w:p>
    <w:p>
      <w:pPr>
        <w:spacing w:line="500" w:lineRule="exact"/>
        <w:ind w:firstLine="560" w:firstLineChars="200"/>
        <w:rPr>
          <w:color w:val="000000" w:themeColor="text1"/>
          <w:sz w:val="28"/>
          <w:szCs w:val="28"/>
        </w:rPr>
      </w:pPr>
      <w:r>
        <w:rPr>
          <w:rFonts w:hint="eastAsia"/>
          <w:color w:val="000000" w:themeColor="text1"/>
          <w:sz w:val="28"/>
          <w:szCs w:val="28"/>
        </w:rPr>
        <w:t>（6）</w:t>
      </w:r>
      <w:r>
        <w:rPr>
          <w:color w:val="000000" w:themeColor="text1"/>
          <w:sz w:val="28"/>
          <w:szCs w:val="28"/>
        </w:rPr>
        <w:t>补充甲醇经营储存系统应急物资，并设专柜，</w:t>
      </w:r>
      <w:r>
        <w:rPr>
          <w:rFonts w:eastAsiaTheme="minorEastAsia"/>
          <w:snapToGrid w:val="0"/>
          <w:color w:val="000000" w:themeColor="text1"/>
          <w:kern w:val="0"/>
          <w:sz w:val="28"/>
          <w:szCs w:val="28"/>
        </w:rPr>
        <w:t>置于应急条件下便于人员取用的地点，</w:t>
      </w:r>
      <w:r>
        <w:rPr>
          <w:color w:val="000000" w:themeColor="text1"/>
          <w:sz w:val="28"/>
          <w:szCs w:val="28"/>
        </w:rPr>
        <w:t>建立日常检查维护台账，保持各应急物资处于完好、有效状态。</w:t>
      </w:r>
    </w:p>
    <w:p>
      <w:pPr>
        <w:spacing w:line="500" w:lineRule="exact"/>
        <w:ind w:firstLine="560" w:firstLineChars="200"/>
        <w:rPr>
          <w:color w:val="000000" w:themeColor="text1"/>
          <w:kern w:val="3"/>
          <w:sz w:val="28"/>
        </w:rPr>
      </w:pPr>
      <w:r>
        <w:rPr>
          <w:color w:val="000000" w:themeColor="text1"/>
          <w:sz w:val="28"/>
          <w:szCs w:val="28"/>
        </w:rPr>
        <w:t>20</w:t>
      </w:r>
      <w:r>
        <w:rPr>
          <w:rFonts w:hint="eastAsia"/>
          <w:color w:val="000000" w:themeColor="text1"/>
          <w:sz w:val="28"/>
          <w:szCs w:val="28"/>
        </w:rPr>
        <w:t>.</w:t>
      </w:r>
      <w:r>
        <w:rPr>
          <w:color w:val="000000" w:themeColor="text1"/>
          <w:sz w:val="28"/>
          <w:szCs w:val="28"/>
        </w:rPr>
        <w:t>该公司在甲醇经营储存过程中应执行《</w:t>
      </w:r>
      <w:r>
        <w:rPr>
          <w:color w:val="000000" w:themeColor="text1"/>
          <w:kern w:val="3"/>
          <w:sz w:val="28"/>
        </w:rPr>
        <w:t>化工（危险化学品）企业保障生产安全十条规定</w:t>
      </w:r>
      <w:r>
        <w:rPr>
          <w:color w:val="000000" w:themeColor="text1"/>
          <w:sz w:val="28"/>
          <w:szCs w:val="28"/>
        </w:rPr>
        <w:t>》（安监总政法﹝2017﹞15号）中的以下要求：</w:t>
      </w:r>
    </w:p>
    <w:p>
      <w:pPr>
        <w:spacing w:line="500" w:lineRule="exact"/>
        <w:ind w:firstLine="560" w:firstLineChars="200"/>
        <w:rPr>
          <w:color w:val="000000" w:themeColor="text1"/>
          <w:kern w:val="3"/>
          <w:sz w:val="28"/>
        </w:rPr>
      </w:pPr>
      <w:r>
        <w:rPr>
          <w:rFonts w:hint="eastAsia"/>
          <w:color w:val="000000" w:themeColor="text1"/>
          <w:sz w:val="28"/>
          <w:szCs w:val="28"/>
        </w:rPr>
        <w:t>（1）</w:t>
      </w:r>
      <w:r>
        <w:rPr>
          <w:color w:val="000000" w:themeColor="text1"/>
          <w:kern w:val="3"/>
          <w:sz w:val="28"/>
        </w:rPr>
        <w:t>必须依法设立、证照齐全有效。</w:t>
      </w:r>
    </w:p>
    <w:p>
      <w:pPr>
        <w:spacing w:line="500" w:lineRule="exact"/>
        <w:ind w:firstLine="560" w:firstLineChars="200"/>
        <w:rPr>
          <w:color w:val="000000" w:themeColor="text1"/>
          <w:kern w:val="3"/>
          <w:sz w:val="28"/>
        </w:rPr>
      </w:pPr>
      <w:r>
        <w:rPr>
          <w:rFonts w:hint="eastAsia"/>
          <w:color w:val="000000" w:themeColor="text1"/>
          <w:sz w:val="28"/>
          <w:szCs w:val="28"/>
        </w:rPr>
        <w:t>（2）</w:t>
      </w:r>
      <w:r>
        <w:rPr>
          <w:color w:val="000000" w:themeColor="text1"/>
          <w:kern w:val="3"/>
          <w:sz w:val="28"/>
        </w:rPr>
        <w:t>必须建立健全并严格落实全员安全生产责任制。</w:t>
      </w:r>
    </w:p>
    <w:p>
      <w:pPr>
        <w:spacing w:line="500" w:lineRule="exact"/>
        <w:ind w:firstLine="560" w:firstLineChars="200"/>
        <w:rPr>
          <w:color w:val="000000" w:themeColor="text1"/>
          <w:kern w:val="3"/>
          <w:sz w:val="28"/>
        </w:rPr>
      </w:pPr>
      <w:r>
        <w:rPr>
          <w:rFonts w:hint="eastAsia"/>
          <w:color w:val="000000" w:themeColor="text1"/>
          <w:sz w:val="28"/>
          <w:szCs w:val="28"/>
        </w:rPr>
        <w:t>（3）</w:t>
      </w:r>
      <w:r>
        <w:rPr>
          <w:color w:val="000000" w:themeColor="text1"/>
          <w:kern w:val="3"/>
          <w:sz w:val="28"/>
        </w:rPr>
        <w:t>必须确保从业人员符合录用条件并培训合格，依法持证上岗。</w:t>
      </w:r>
    </w:p>
    <w:p>
      <w:pPr>
        <w:spacing w:line="500" w:lineRule="exact"/>
        <w:ind w:firstLine="560" w:firstLineChars="200"/>
        <w:rPr>
          <w:color w:val="000000" w:themeColor="text1"/>
          <w:kern w:val="3"/>
          <w:sz w:val="28"/>
        </w:rPr>
      </w:pPr>
      <w:r>
        <w:rPr>
          <w:rFonts w:hint="eastAsia"/>
          <w:color w:val="000000" w:themeColor="text1"/>
          <w:sz w:val="28"/>
          <w:szCs w:val="28"/>
        </w:rPr>
        <w:t>（4）</w:t>
      </w:r>
      <w:r>
        <w:rPr>
          <w:color w:val="000000" w:themeColor="text1"/>
          <w:kern w:val="3"/>
          <w:sz w:val="28"/>
        </w:rPr>
        <w:t>必须严格变更管理，遇险科学施救。</w:t>
      </w:r>
    </w:p>
    <w:p>
      <w:pPr>
        <w:spacing w:line="500" w:lineRule="exact"/>
        <w:ind w:firstLine="560" w:firstLineChars="200"/>
        <w:rPr>
          <w:color w:val="000000" w:themeColor="text1"/>
          <w:kern w:val="3"/>
          <w:sz w:val="28"/>
        </w:rPr>
      </w:pPr>
      <w:r>
        <w:rPr>
          <w:rFonts w:hint="eastAsia"/>
          <w:color w:val="000000" w:themeColor="text1"/>
          <w:sz w:val="28"/>
          <w:szCs w:val="28"/>
        </w:rPr>
        <w:t>（5）</w:t>
      </w:r>
      <w:r>
        <w:rPr>
          <w:color w:val="000000" w:themeColor="text1"/>
          <w:kern w:val="3"/>
          <w:sz w:val="28"/>
        </w:rPr>
        <w:t>必须按照《危险化学品企业事故隐患排查治理实施导则》要求排查治理隐患。</w:t>
      </w:r>
    </w:p>
    <w:p>
      <w:pPr>
        <w:spacing w:line="500" w:lineRule="exact"/>
        <w:ind w:firstLine="560" w:firstLineChars="200"/>
        <w:rPr>
          <w:color w:val="000000" w:themeColor="text1"/>
          <w:kern w:val="3"/>
          <w:sz w:val="28"/>
        </w:rPr>
      </w:pPr>
      <w:r>
        <w:rPr>
          <w:rFonts w:hint="eastAsia"/>
          <w:color w:val="000000" w:themeColor="text1"/>
          <w:sz w:val="28"/>
          <w:szCs w:val="28"/>
        </w:rPr>
        <w:t>（6）</w:t>
      </w:r>
      <w:r>
        <w:rPr>
          <w:color w:val="000000" w:themeColor="text1"/>
          <w:kern w:val="3"/>
          <w:sz w:val="28"/>
        </w:rPr>
        <w:t>严禁设备设施带病运行和未经审批停用报警系统。</w:t>
      </w:r>
    </w:p>
    <w:p>
      <w:pPr>
        <w:spacing w:line="500" w:lineRule="exact"/>
        <w:ind w:firstLine="560" w:firstLineChars="200"/>
        <w:rPr>
          <w:color w:val="000000" w:themeColor="text1"/>
          <w:kern w:val="3"/>
          <w:sz w:val="28"/>
        </w:rPr>
      </w:pPr>
      <w:r>
        <w:rPr>
          <w:rFonts w:hint="eastAsia"/>
          <w:color w:val="000000" w:themeColor="text1"/>
          <w:sz w:val="28"/>
          <w:szCs w:val="28"/>
        </w:rPr>
        <w:t>（7）</w:t>
      </w:r>
      <w:r>
        <w:rPr>
          <w:color w:val="000000" w:themeColor="text1"/>
          <w:kern w:val="3"/>
          <w:sz w:val="28"/>
        </w:rPr>
        <w:t>严禁未经审批进行动火、受限空间、高处、吊装、临时用电、动土、检维修、盲板抽堵等作业。</w:t>
      </w:r>
    </w:p>
    <w:p>
      <w:pPr>
        <w:spacing w:line="500" w:lineRule="exact"/>
        <w:ind w:left="560"/>
        <w:rPr>
          <w:color w:val="000000" w:themeColor="text1"/>
          <w:kern w:val="3"/>
          <w:sz w:val="28"/>
        </w:rPr>
      </w:pPr>
      <w:r>
        <w:rPr>
          <w:rFonts w:hint="eastAsia"/>
          <w:color w:val="000000" w:themeColor="text1"/>
          <w:sz w:val="28"/>
          <w:szCs w:val="28"/>
        </w:rPr>
        <w:t>（8）</w:t>
      </w:r>
      <w:r>
        <w:rPr>
          <w:color w:val="000000" w:themeColor="text1"/>
          <w:kern w:val="3"/>
          <w:sz w:val="28"/>
        </w:rPr>
        <w:t>严禁违章指挥和强令他人冒险作业。</w:t>
      </w:r>
    </w:p>
    <w:p>
      <w:pPr>
        <w:spacing w:line="500" w:lineRule="exact"/>
        <w:ind w:firstLine="560" w:firstLineChars="200"/>
        <w:rPr>
          <w:color w:val="000000" w:themeColor="text1"/>
          <w:kern w:val="3"/>
          <w:sz w:val="28"/>
        </w:rPr>
      </w:pPr>
      <w:r>
        <w:rPr>
          <w:rFonts w:hint="eastAsia"/>
          <w:color w:val="000000" w:themeColor="text1"/>
          <w:sz w:val="28"/>
          <w:szCs w:val="28"/>
        </w:rPr>
        <w:t>（9）</w:t>
      </w:r>
      <w:r>
        <w:rPr>
          <w:color w:val="000000" w:themeColor="text1"/>
          <w:kern w:val="3"/>
          <w:sz w:val="28"/>
        </w:rPr>
        <w:t>严禁违章作业、脱岗和在岗做与工作无关的事。</w:t>
      </w:r>
    </w:p>
    <w:p>
      <w:pPr>
        <w:spacing w:line="500" w:lineRule="exact"/>
        <w:ind w:firstLine="560" w:firstLineChars="200"/>
        <w:rPr>
          <w:rFonts w:eastAsiaTheme="minorEastAsia"/>
          <w:snapToGrid w:val="0"/>
          <w:color w:val="000000" w:themeColor="text1"/>
          <w:kern w:val="0"/>
          <w:sz w:val="28"/>
          <w:szCs w:val="28"/>
        </w:rPr>
      </w:pPr>
      <w:r>
        <w:rPr>
          <w:color w:val="000000" w:themeColor="text1"/>
          <w:kern w:val="3"/>
          <w:sz w:val="28"/>
        </w:rPr>
        <w:t>21</w:t>
      </w:r>
      <w:r>
        <w:rPr>
          <w:rFonts w:hint="eastAsia"/>
          <w:color w:val="000000" w:themeColor="text1"/>
          <w:kern w:val="3"/>
          <w:sz w:val="28"/>
        </w:rPr>
        <w:t>.</w:t>
      </w:r>
      <w:r>
        <w:rPr>
          <w:rFonts w:eastAsiaTheme="minorEastAsia"/>
          <w:snapToGrid w:val="0"/>
          <w:color w:val="000000" w:themeColor="text1"/>
          <w:kern w:val="0"/>
          <w:sz w:val="28"/>
          <w:szCs w:val="28"/>
        </w:rPr>
        <w:t>日常运营中如项目区已设各类安全警示标识有褪色、损坏等，应按照《化学品作业场所安全警示标志规范》（AQ/T3047-2013）等标准、规范的要求对其进行更换，且设置应明显。</w:t>
      </w:r>
    </w:p>
    <w:p>
      <w:pPr>
        <w:spacing w:line="500" w:lineRule="exact"/>
        <w:ind w:firstLine="560" w:firstLineChars="200"/>
        <w:rPr>
          <w:rFonts w:eastAsiaTheme="minorEastAsia"/>
          <w:color w:val="000000" w:themeColor="text1"/>
          <w:kern w:val="3"/>
          <w:sz w:val="28"/>
        </w:rPr>
      </w:pPr>
      <w:r>
        <w:rPr>
          <w:rFonts w:eastAsiaTheme="minorEastAsia"/>
          <w:snapToGrid w:val="0"/>
          <w:color w:val="000000" w:themeColor="text1"/>
          <w:kern w:val="0"/>
          <w:sz w:val="28"/>
          <w:szCs w:val="28"/>
        </w:rPr>
        <w:t>22</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根据《危险化学品应急救援管理人员培训及考核要求》（AQ/T3043-2013）的要求，建议项目区危险化学品应急救援管理人员应经安全培训，具备与所从事的应急救援活动相适应的应急救援理论和应急救援能力，并取得危险化学品应急救援资格证。</w:t>
      </w:r>
    </w:p>
    <w:p>
      <w:pPr>
        <w:pStyle w:val="74"/>
        <w:spacing w:line="500" w:lineRule="exact"/>
        <w:ind w:firstLine="560"/>
        <w:rPr>
          <w:rFonts w:ascii="Times New Roman" w:hAnsi="Times New Roman" w:eastAsiaTheme="minorEastAsia"/>
          <w:color w:val="000000" w:themeColor="text1"/>
          <w:szCs w:val="28"/>
        </w:rPr>
      </w:pPr>
      <w:r>
        <w:rPr>
          <w:rFonts w:ascii="Times New Roman" w:hAnsi="Times New Roman" w:eastAsiaTheme="minorEastAsia"/>
          <w:snapToGrid w:val="0"/>
          <w:color w:val="000000" w:themeColor="text1"/>
          <w:kern w:val="0"/>
          <w:szCs w:val="28"/>
        </w:rPr>
        <w:t>23</w:t>
      </w:r>
      <w:bookmarkStart w:id="2008" w:name="_Toc10481"/>
      <w:bookmarkStart w:id="2009" w:name="_Toc191728247"/>
      <w:bookmarkStart w:id="2010" w:name="_Toc191730091"/>
      <w:bookmarkStart w:id="2011" w:name="_Toc191729807"/>
      <w:r>
        <w:rPr>
          <w:rFonts w:hint="eastAsia" w:ascii="Times New Roman" w:hAnsi="Times New Roman" w:eastAsiaTheme="minorEastAsia"/>
          <w:snapToGrid w:val="0"/>
          <w:color w:val="000000" w:themeColor="text1"/>
          <w:kern w:val="0"/>
          <w:szCs w:val="28"/>
        </w:rPr>
        <w:t>.</w:t>
      </w:r>
      <w:r>
        <w:rPr>
          <w:rFonts w:ascii="Times New Roman" w:hAnsi="Times New Roman" w:eastAsiaTheme="minorEastAsia"/>
          <w:color w:val="000000" w:themeColor="text1"/>
          <w:szCs w:val="28"/>
        </w:rPr>
        <w:t>建议企业定期开展全面的自查自改，制定安全检查重点内容，根据检查结果，完善公司的安全管理及甲醇经营储存系统安全设施的设置</w:t>
      </w:r>
      <w:r>
        <w:rPr>
          <w:rFonts w:hint="eastAsia" w:ascii="Times New Roman" w:hAnsi="Times New Roman" w:eastAsiaTheme="minorEastAsia"/>
          <w:color w:val="000000" w:themeColor="text1"/>
          <w:szCs w:val="28"/>
        </w:rPr>
        <w:t>；并在正常运营后，完善台账记录</w:t>
      </w:r>
      <w:r>
        <w:rPr>
          <w:rFonts w:ascii="Times New Roman" w:hAnsi="Times New Roman" w:eastAsiaTheme="minorEastAsia"/>
          <w:color w:val="000000" w:themeColor="text1"/>
          <w:szCs w:val="28"/>
        </w:rPr>
        <w:t>。</w:t>
      </w:r>
    </w:p>
    <w:p>
      <w:pPr>
        <w:spacing w:line="500" w:lineRule="exact"/>
        <w:ind w:firstLine="560" w:firstLineChars="200"/>
        <w:rPr>
          <w:rFonts w:eastAsiaTheme="minorEastAsia"/>
          <w:color w:val="000000" w:themeColor="text1"/>
          <w:szCs w:val="28"/>
        </w:rPr>
      </w:pPr>
      <w:r>
        <w:rPr>
          <w:rFonts w:eastAsiaTheme="minorEastAsia"/>
          <w:color w:val="000000" w:themeColor="text1"/>
          <w:sz w:val="28"/>
          <w:szCs w:val="28"/>
        </w:rPr>
        <w:t>24</w:t>
      </w:r>
      <w:r>
        <w:rPr>
          <w:rFonts w:hint="eastAsia" w:eastAsiaTheme="minorEastAsia"/>
          <w:color w:val="000000" w:themeColor="text1"/>
          <w:sz w:val="28"/>
          <w:szCs w:val="28"/>
        </w:rPr>
        <w:t>.</w:t>
      </w:r>
      <w:r>
        <w:rPr>
          <w:rFonts w:eastAsiaTheme="minorEastAsia"/>
          <w:color w:val="000000" w:themeColor="text1"/>
          <w:sz w:val="28"/>
          <w:szCs w:val="28"/>
        </w:rPr>
        <w:t>建议根据《企业安全生产标准化基本规范》（GB33000-2016）等要求完善企业安全运行条件和安全管理工作水平。</w:t>
      </w:r>
    </w:p>
    <w:p>
      <w:pPr>
        <w:spacing w:line="500" w:lineRule="exact"/>
        <w:ind w:firstLine="560" w:firstLineChars="200"/>
        <w:rPr>
          <w:rFonts w:eastAsiaTheme="minorEastAsia"/>
          <w:color w:val="000000" w:themeColor="text1"/>
          <w:sz w:val="28"/>
          <w:szCs w:val="28"/>
        </w:rPr>
      </w:pPr>
      <w:r>
        <w:rPr>
          <w:rFonts w:eastAsiaTheme="minorEastAsia"/>
          <w:color w:val="000000" w:themeColor="text1"/>
          <w:sz w:val="28"/>
          <w:szCs w:val="28"/>
        </w:rPr>
        <w:t>2</w:t>
      </w:r>
      <w:r>
        <w:rPr>
          <w:rFonts w:hint="eastAsia" w:eastAsiaTheme="minorEastAsia"/>
          <w:color w:val="000000" w:themeColor="text1"/>
          <w:sz w:val="28"/>
          <w:szCs w:val="28"/>
        </w:rPr>
        <w:t>5.</w:t>
      </w:r>
      <w:r>
        <w:rPr>
          <w:rFonts w:hint="eastAsia" w:eastAsiaTheme="minorEastAsia"/>
          <w:snapToGrid w:val="0"/>
          <w:color w:val="000000" w:themeColor="text1"/>
          <w:kern w:val="0"/>
          <w:sz w:val="28"/>
          <w:szCs w:val="28"/>
        </w:rPr>
        <w:t>公司</w:t>
      </w:r>
      <w:r>
        <w:rPr>
          <w:rFonts w:eastAsiaTheme="minorEastAsia"/>
          <w:snapToGrid w:val="0"/>
          <w:color w:val="000000" w:themeColor="text1"/>
          <w:kern w:val="0"/>
          <w:sz w:val="28"/>
          <w:szCs w:val="28"/>
        </w:rPr>
        <w:t>在甲醇储存过程中如</w:t>
      </w:r>
      <w:r>
        <w:rPr>
          <w:rFonts w:eastAsiaTheme="minorEastAsia"/>
          <w:color w:val="000000" w:themeColor="text1"/>
          <w:sz w:val="28"/>
          <w:szCs w:val="28"/>
        </w:rPr>
        <w:t>周边需新建或规划发生改变时，应结合对甲醇储存设施的安全影响，应及时上报当地规划、应急管理等相关部门，必要时签订相关责任协议。</w:t>
      </w:r>
    </w:p>
    <w:bookmarkEnd w:id="2008"/>
    <w:bookmarkEnd w:id="2009"/>
    <w:bookmarkEnd w:id="2010"/>
    <w:bookmarkEnd w:id="2011"/>
    <w:p>
      <w:pPr>
        <w:keepNext/>
        <w:keepLines/>
        <w:pageBreakBefore/>
        <w:spacing w:before="340" w:after="330" w:line="500" w:lineRule="exact"/>
        <w:jc w:val="center"/>
        <w:outlineLvl w:val="0"/>
        <w:rPr>
          <w:rFonts w:ascii="楷体_GB2312" w:hAnsi="宋体" w:eastAsia="楷体_GB2312"/>
          <w:b/>
          <w:bCs/>
          <w:color w:val="000000" w:themeColor="text1"/>
          <w:kern w:val="3"/>
          <w:sz w:val="32"/>
          <w:szCs w:val="32"/>
        </w:rPr>
      </w:pPr>
      <w:bookmarkStart w:id="2012" w:name="_Toc14834"/>
      <w:bookmarkStart w:id="2013" w:name="_Toc24380"/>
      <w:bookmarkStart w:id="2014" w:name="_Toc13475"/>
      <w:bookmarkStart w:id="2015" w:name="_Toc20517"/>
      <w:bookmarkStart w:id="2016" w:name="_Toc24439"/>
      <w:bookmarkStart w:id="2017" w:name="_Toc17430"/>
      <w:bookmarkStart w:id="2018" w:name="_Toc24933"/>
      <w:bookmarkStart w:id="2019" w:name="_Toc24661"/>
      <w:bookmarkStart w:id="2020" w:name="_Toc22759_WPSOffice_Level1"/>
      <w:bookmarkStart w:id="2021" w:name="_Toc6045"/>
      <w:bookmarkStart w:id="2022" w:name="_Toc10113"/>
      <w:bookmarkStart w:id="2023" w:name="_Toc22696"/>
      <w:bookmarkStart w:id="2024" w:name="_Toc19633"/>
      <w:bookmarkStart w:id="2025" w:name="_Toc8272"/>
      <w:bookmarkStart w:id="2026" w:name="_Toc3715"/>
      <w:bookmarkStart w:id="2027" w:name="_Toc26940"/>
      <w:r>
        <w:rPr>
          <w:rFonts w:hint="eastAsia" w:ascii="楷体_GB2312" w:hAnsi="宋体" w:eastAsia="楷体_GB2312"/>
          <w:b/>
          <w:bCs/>
          <w:color w:val="000000" w:themeColor="text1"/>
          <w:kern w:val="3"/>
          <w:sz w:val="32"/>
          <w:szCs w:val="32"/>
        </w:rPr>
        <w:t>第7章 安全现状评价结论</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pPr>
        <w:spacing w:line="500" w:lineRule="exact"/>
        <w:ind w:firstLine="560" w:firstLineChars="200"/>
        <w:rPr>
          <w:rFonts w:eastAsia="黑体"/>
          <w:b/>
          <w:bCs/>
          <w:color w:val="000000" w:themeColor="text1"/>
          <w:kern w:val="0"/>
          <w:sz w:val="36"/>
          <w:szCs w:val="36"/>
        </w:rPr>
      </w:pPr>
      <w:r>
        <w:rPr>
          <w:rFonts w:hint="eastAsia"/>
          <w:color w:val="000000" w:themeColor="text1"/>
          <w:sz w:val="28"/>
          <w:szCs w:val="28"/>
        </w:rPr>
        <w:t>昭通市鼎安科技有限公司</w:t>
      </w:r>
      <w:r>
        <w:rPr>
          <w:color w:val="000000" w:themeColor="text1"/>
          <w:sz w:val="28"/>
          <w:szCs w:val="28"/>
        </w:rPr>
        <w:t>根据国家相关法律法</w:t>
      </w:r>
      <w:bookmarkStart w:id="2028" w:name="_Toc15820"/>
      <w:bookmarkStart w:id="2029" w:name="_Toc194389993"/>
      <w:bookmarkStart w:id="2030" w:name="_Toc217444277"/>
      <w:bookmarkStart w:id="2031" w:name="_Toc191730098"/>
      <w:bookmarkStart w:id="2032" w:name="_Toc191729814"/>
      <w:bookmarkStart w:id="2033" w:name="_Toc191728254"/>
      <w:r>
        <w:rPr>
          <w:color w:val="000000" w:themeColor="text1"/>
          <w:sz w:val="28"/>
          <w:szCs w:val="28"/>
        </w:rPr>
        <w:t>规及标</w:t>
      </w:r>
      <w:bookmarkStart w:id="2034" w:name="_Toc191375158"/>
      <w:bookmarkStart w:id="2035" w:name="_Toc190690427"/>
      <w:r>
        <w:rPr>
          <w:color w:val="000000" w:themeColor="text1"/>
          <w:sz w:val="28"/>
          <w:szCs w:val="28"/>
        </w:rPr>
        <w:t>准</w:t>
      </w:r>
      <w:r>
        <w:rPr>
          <w:rFonts w:hint="eastAsia"/>
          <w:color w:val="000000" w:themeColor="text1"/>
          <w:sz w:val="28"/>
          <w:szCs w:val="28"/>
        </w:rPr>
        <w:t>规范</w:t>
      </w:r>
      <w:r>
        <w:rPr>
          <w:color w:val="000000" w:themeColor="text1"/>
          <w:sz w:val="28"/>
          <w:szCs w:val="28"/>
        </w:rPr>
        <w:t>的要求，对</w:t>
      </w:r>
      <w:bookmarkEnd w:id="2028"/>
      <w:bookmarkEnd w:id="2029"/>
      <w:bookmarkEnd w:id="2030"/>
      <w:bookmarkEnd w:id="2031"/>
      <w:bookmarkEnd w:id="2032"/>
      <w:bookmarkEnd w:id="2033"/>
      <w:bookmarkEnd w:id="2034"/>
      <w:bookmarkEnd w:id="2035"/>
      <w:bookmarkStart w:id="2036" w:name="_Toc8408"/>
      <w:r>
        <w:rPr>
          <w:rFonts w:hint="eastAsia"/>
          <w:color w:val="000000" w:themeColor="text1"/>
          <w:sz w:val="28"/>
          <w:szCs w:val="28"/>
        </w:rPr>
        <w:t>昭通市耀晨甲醇醇油有限公司危化品经营</w:t>
      </w:r>
      <w:r>
        <w:rPr>
          <w:color w:val="000000" w:themeColor="text1"/>
          <w:sz w:val="28"/>
          <w:szCs w:val="28"/>
        </w:rPr>
        <w:t>涉及的厂址、总平面布置、甲醇储存工艺及设备、设施、公辅设施、安全管理等进行了安全分析评价，做出如下结论：</w:t>
      </w:r>
    </w:p>
    <w:bookmarkEnd w:id="2036"/>
    <w:p>
      <w:pPr>
        <w:pStyle w:val="19"/>
        <w:spacing w:afterLines="100" w:line="500" w:lineRule="exact"/>
        <w:jc w:val="center"/>
        <w:rPr>
          <w:rFonts w:ascii="楷体_GB2312" w:hAnsi="宋体" w:eastAsia="楷体_GB2312"/>
          <w:color w:val="000000" w:themeColor="text1"/>
          <w:kern w:val="3"/>
        </w:rPr>
      </w:pPr>
      <w:bookmarkStart w:id="2037" w:name="_Toc3088"/>
      <w:bookmarkStart w:id="2038" w:name="_Toc21448"/>
      <w:bookmarkStart w:id="2039" w:name="_Toc23540"/>
      <w:bookmarkStart w:id="2040" w:name="_Toc778"/>
      <w:bookmarkStart w:id="2041" w:name="_Toc31037"/>
      <w:bookmarkStart w:id="2042" w:name="_Toc1664"/>
      <w:bookmarkStart w:id="2043" w:name="_Toc21137"/>
      <w:bookmarkStart w:id="2044" w:name="_Toc24160"/>
      <w:bookmarkStart w:id="2045" w:name="_Toc22756"/>
      <w:bookmarkStart w:id="2046" w:name="_Toc6578"/>
      <w:bookmarkStart w:id="2047" w:name="_Toc30172"/>
      <w:bookmarkStart w:id="2048" w:name="_Toc5932"/>
      <w:bookmarkStart w:id="2049" w:name="_Toc25774"/>
      <w:bookmarkStart w:id="2050" w:name="_Toc7038_WPSOffice_Level2"/>
      <w:bookmarkStart w:id="2051" w:name="_Toc1780"/>
      <w:bookmarkStart w:id="2052" w:name="_Toc29502"/>
      <w:r>
        <w:rPr>
          <w:rFonts w:hint="eastAsia" w:ascii="楷体_GB2312" w:hAnsi="宋体" w:eastAsia="楷体_GB2312"/>
          <w:color w:val="000000" w:themeColor="text1"/>
          <w:kern w:val="3"/>
        </w:rPr>
        <w:t>7.1主要危险、有害物质</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pPr>
        <w:spacing w:line="5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昭通市耀晨甲醇醇油有限公司危化品经营</w:t>
      </w:r>
      <w:r>
        <w:rPr>
          <w:rFonts w:eastAsiaTheme="minorEastAsia"/>
          <w:color w:val="000000" w:themeColor="text1"/>
          <w:sz w:val="28"/>
          <w:szCs w:val="28"/>
        </w:rPr>
        <w:t>过程中涉及的主要危险、物质</w:t>
      </w:r>
      <w:bookmarkStart w:id="2053" w:name="_Toc445750331"/>
      <w:r>
        <w:rPr>
          <w:rFonts w:eastAsiaTheme="minorEastAsia"/>
          <w:color w:val="000000" w:themeColor="text1"/>
          <w:sz w:val="28"/>
          <w:szCs w:val="28"/>
        </w:rPr>
        <w:t>为甲醇。甲醇具有“易燃液体，类别2；急性毒性-经口，类别3；急性毒性-经皮，类别3；急性毒性-吸入，类别3；特异性靶器官毒性一次接触,类别1”的性质。</w:t>
      </w:r>
    </w:p>
    <w:bookmarkEnd w:id="2053"/>
    <w:p>
      <w:pPr>
        <w:pStyle w:val="19"/>
        <w:spacing w:afterLines="100" w:line="500" w:lineRule="exact"/>
        <w:jc w:val="center"/>
        <w:rPr>
          <w:rFonts w:ascii="楷体_GB2312" w:hAnsi="宋体" w:eastAsia="楷体_GB2312"/>
          <w:color w:val="000000" w:themeColor="text1"/>
          <w:kern w:val="3"/>
        </w:rPr>
      </w:pPr>
      <w:bookmarkStart w:id="2054" w:name="_Toc16409"/>
      <w:bookmarkStart w:id="2055" w:name="_Toc19762"/>
      <w:bookmarkStart w:id="2056" w:name="_Toc16251"/>
      <w:bookmarkStart w:id="2057" w:name="_Toc15571"/>
      <w:bookmarkStart w:id="2058" w:name="_Toc7653"/>
      <w:bookmarkStart w:id="2059" w:name="_Toc32479"/>
      <w:bookmarkStart w:id="2060" w:name="_Toc11848"/>
      <w:bookmarkStart w:id="2061" w:name="_Toc31759"/>
      <w:bookmarkStart w:id="2062" w:name="_Toc1336"/>
      <w:bookmarkStart w:id="2063" w:name="_Toc6719"/>
      <w:bookmarkStart w:id="2064" w:name="_Toc17184"/>
      <w:bookmarkStart w:id="2065" w:name="_Toc32693"/>
      <w:bookmarkStart w:id="2066" w:name="_Toc5882_WPSOffice_Level2"/>
      <w:bookmarkStart w:id="2067" w:name="_Toc25477"/>
      <w:bookmarkStart w:id="2068" w:name="_Toc14238"/>
      <w:bookmarkStart w:id="2069" w:name="_Toc4198"/>
      <w:r>
        <w:rPr>
          <w:rFonts w:hint="eastAsia" w:ascii="楷体_GB2312" w:hAnsi="宋体" w:eastAsia="楷体_GB2312"/>
          <w:color w:val="000000" w:themeColor="text1"/>
          <w:kern w:val="3"/>
        </w:rPr>
        <w:t>7.2主要危险、有害因素</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pPr>
        <w:spacing w:line="500" w:lineRule="exact"/>
        <w:ind w:firstLine="560" w:firstLineChars="200"/>
        <w:rPr>
          <w:color w:val="000000" w:themeColor="text1"/>
          <w:sz w:val="28"/>
        </w:rPr>
      </w:pPr>
      <w:r>
        <w:rPr>
          <w:rFonts w:hint="eastAsia"/>
          <w:color w:val="000000" w:themeColor="text1"/>
          <w:sz w:val="28"/>
          <w:szCs w:val="28"/>
        </w:rPr>
        <w:t>昭通市耀晨甲醇醇油有限公司危化品经营</w:t>
      </w:r>
      <w:r>
        <w:rPr>
          <w:color w:val="000000" w:themeColor="text1"/>
          <w:sz w:val="28"/>
          <w:szCs w:val="28"/>
        </w:rPr>
        <w:t>过程中涉及的</w:t>
      </w:r>
      <w:r>
        <w:rPr>
          <w:color w:val="000000" w:themeColor="text1"/>
          <w:sz w:val="28"/>
        </w:rPr>
        <w:t>主要危险、有害</w:t>
      </w:r>
      <w:bookmarkStart w:id="2070" w:name="_Toc445750332"/>
      <w:r>
        <w:rPr>
          <w:color w:val="000000" w:themeColor="text1"/>
          <w:sz w:val="28"/>
        </w:rPr>
        <w:t>因素有</w:t>
      </w:r>
      <w:bookmarkEnd w:id="2070"/>
      <w:r>
        <w:rPr>
          <w:color w:val="000000" w:themeColor="text1"/>
          <w:sz w:val="28"/>
        </w:rPr>
        <w:t>火灾、爆炸、中毒和窒息、</w:t>
      </w:r>
      <w:r>
        <w:rPr>
          <w:color w:val="000000" w:themeColor="text1"/>
          <w:sz w:val="28"/>
          <w:szCs w:val="28"/>
        </w:rPr>
        <w:t>车辆伤害</w:t>
      </w:r>
      <w:r>
        <w:rPr>
          <w:color w:val="000000" w:themeColor="text1"/>
          <w:sz w:val="28"/>
        </w:rPr>
        <w:t>、高处坠落、机械伤害、物体打击、触电、化学腐蚀、化学灼伤、雷电及静电危害</w:t>
      </w:r>
      <w:r>
        <w:rPr>
          <w:color w:val="000000" w:themeColor="text1"/>
          <w:sz w:val="28"/>
          <w:szCs w:val="28"/>
        </w:rPr>
        <w:t>等。</w:t>
      </w:r>
    </w:p>
    <w:p>
      <w:pPr>
        <w:pStyle w:val="19"/>
        <w:spacing w:afterLines="100" w:line="500" w:lineRule="exact"/>
        <w:jc w:val="center"/>
        <w:rPr>
          <w:rFonts w:ascii="楷体_GB2312" w:hAnsi="宋体" w:eastAsia="楷体_GB2312"/>
          <w:color w:val="000000" w:themeColor="text1"/>
          <w:kern w:val="3"/>
        </w:rPr>
      </w:pPr>
      <w:bookmarkStart w:id="2071" w:name="_Toc24545"/>
      <w:bookmarkStart w:id="2072" w:name="_Toc15769"/>
      <w:bookmarkStart w:id="2073" w:name="_Toc25430"/>
      <w:bookmarkStart w:id="2074" w:name="_Toc20505"/>
      <w:bookmarkStart w:id="2075" w:name="_Toc16862"/>
      <w:bookmarkStart w:id="2076" w:name="_Toc12526"/>
      <w:bookmarkStart w:id="2077" w:name="_Toc29998_WPSOffice_Level2"/>
      <w:bookmarkStart w:id="2078" w:name="_Toc16179"/>
      <w:bookmarkStart w:id="2079" w:name="_Toc17464"/>
      <w:bookmarkStart w:id="2080" w:name="_Toc13458"/>
      <w:bookmarkStart w:id="2081" w:name="_Toc25886"/>
      <w:bookmarkStart w:id="2082" w:name="_Toc8274"/>
      <w:bookmarkStart w:id="2083" w:name="_Toc31369"/>
      <w:bookmarkStart w:id="2084" w:name="_Toc7044"/>
      <w:bookmarkStart w:id="2085" w:name="_Toc2504"/>
      <w:bookmarkStart w:id="2086" w:name="_Toc22927"/>
      <w:r>
        <w:rPr>
          <w:rFonts w:hint="eastAsia" w:ascii="楷体_GB2312" w:hAnsi="宋体" w:eastAsia="楷体_GB2312"/>
          <w:color w:val="000000" w:themeColor="text1"/>
          <w:kern w:val="3"/>
        </w:rPr>
        <w:t>7.3危险化学品重大危险源辨识结果</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pPr>
        <w:spacing w:line="500" w:lineRule="exact"/>
        <w:ind w:firstLine="560" w:firstLineChars="200"/>
        <w:rPr>
          <w:color w:val="000000" w:themeColor="text1"/>
          <w:sz w:val="28"/>
          <w:szCs w:val="28"/>
        </w:rPr>
      </w:pPr>
      <w:r>
        <w:rPr>
          <w:rFonts w:hint="eastAsia"/>
          <w:color w:val="000000" w:themeColor="text1"/>
          <w:sz w:val="28"/>
          <w:szCs w:val="28"/>
        </w:rPr>
        <w:t>昭通市耀晨甲醇醇油有限公司危化品经营</w:t>
      </w:r>
      <w:r>
        <w:rPr>
          <w:color w:val="000000" w:themeColor="text1"/>
          <w:sz w:val="28"/>
          <w:szCs w:val="28"/>
        </w:rPr>
        <w:t>过程中不构成危险化学品重大危险源。</w:t>
      </w:r>
    </w:p>
    <w:p>
      <w:pPr>
        <w:pStyle w:val="19"/>
        <w:spacing w:afterLines="100" w:line="500" w:lineRule="exact"/>
        <w:jc w:val="center"/>
        <w:rPr>
          <w:rFonts w:ascii="楷体_GB2312" w:hAnsi="宋体" w:eastAsia="楷体_GB2312"/>
          <w:color w:val="000000" w:themeColor="text1"/>
          <w:kern w:val="3"/>
        </w:rPr>
      </w:pPr>
      <w:bookmarkStart w:id="2087" w:name="_Toc445750333"/>
      <w:bookmarkStart w:id="2088" w:name="_Toc10774"/>
      <w:bookmarkStart w:id="2089" w:name="_Toc1537"/>
      <w:bookmarkStart w:id="2090" w:name="_Toc20239"/>
      <w:bookmarkStart w:id="2091" w:name="_Toc7543"/>
      <w:bookmarkStart w:id="2092" w:name="_Toc4855"/>
      <w:bookmarkStart w:id="2093" w:name="_Toc31885"/>
      <w:bookmarkStart w:id="2094" w:name="_Toc29595"/>
      <w:bookmarkStart w:id="2095" w:name="_Toc14045"/>
      <w:bookmarkStart w:id="2096" w:name="_Toc730"/>
      <w:bookmarkStart w:id="2097" w:name="_Toc13576_WPSOffice_Level2"/>
      <w:bookmarkStart w:id="2098" w:name="_Toc28231"/>
      <w:bookmarkStart w:id="2099" w:name="_Toc15252"/>
      <w:bookmarkStart w:id="2100" w:name="_Toc21483"/>
      <w:bookmarkStart w:id="2101" w:name="_Toc10643"/>
      <w:bookmarkStart w:id="2102" w:name="_Toc14347"/>
      <w:bookmarkStart w:id="2103" w:name="_Toc28437"/>
      <w:r>
        <w:rPr>
          <w:rFonts w:hint="eastAsia" w:ascii="楷体_GB2312" w:hAnsi="宋体" w:eastAsia="楷体_GB2312"/>
          <w:color w:val="000000" w:themeColor="text1"/>
          <w:kern w:val="3"/>
        </w:rPr>
        <w:t>7.4应重点防范的事故及危</w:t>
      </w:r>
      <w:bookmarkEnd w:id="2087"/>
      <w:r>
        <w:rPr>
          <w:rFonts w:hint="eastAsia" w:ascii="楷体_GB2312" w:hAnsi="宋体" w:eastAsia="楷体_GB2312"/>
          <w:color w:val="000000" w:themeColor="text1"/>
          <w:kern w:val="3"/>
        </w:rPr>
        <w:t>害</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pPr>
        <w:spacing w:line="500" w:lineRule="exact"/>
        <w:ind w:firstLine="560" w:firstLineChars="200"/>
        <w:rPr>
          <w:color w:val="000000" w:themeColor="text1"/>
          <w:sz w:val="28"/>
        </w:rPr>
      </w:pPr>
      <w:r>
        <w:rPr>
          <w:rFonts w:hint="eastAsia"/>
          <w:color w:val="000000" w:themeColor="text1"/>
          <w:sz w:val="28"/>
          <w:szCs w:val="28"/>
        </w:rPr>
        <w:t>昭通市耀晨甲醇醇油有限公司</w:t>
      </w:r>
      <w:r>
        <w:rPr>
          <w:color w:val="000000" w:themeColor="text1"/>
          <w:sz w:val="28"/>
        </w:rPr>
        <w:t>应重点防范的事故及危害为火灾、爆炸、中毒</w:t>
      </w:r>
      <w:bookmarkStart w:id="2104" w:name="_Toc445750334"/>
      <w:r>
        <w:rPr>
          <w:color w:val="000000" w:themeColor="text1"/>
          <w:sz w:val="28"/>
        </w:rPr>
        <w:t>和窒息、雷电及静电危害等。</w:t>
      </w:r>
    </w:p>
    <w:bookmarkEnd w:id="2104"/>
    <w:p>
      <w:pPr>
        <w:pStyle w:val="19"/>
        <w:spacing w:afterLines="100" w:line="500" w:lineRule="exact"/>
        <w:jc w:val="center"/>
        <w:rPr>
          <w:rFonts w:hint="eastAsia" w:ascii="楷体_GB2312" w:hAnsi="宋体" w:eastAsia="楷体_GB2312"/>
          <w:color w:val="000000" w:themeColor="text1"/>
          <w:kern w:val="3"/>
        </w:rPr>
      </w:pPr>
      <w:bookmarkStart w:id="2105" w:name="_Toc21200"/>
      <w:bookmarkStart w:id="2106" w:name="_Toc29131"/>
      <w:bookmarkStart w:id="2107" w:name="_Toc14174"/>
      <w:bookmarkStart w:id="2108" w:name="_Toc17408"/>
      <w:bookmarkStart w:id="2109" w:name="_Toc5083"/>
      <w:bookmarkStart w:id="2110" w:name="_Toc1926"/>
      <w:bookmarkStart w:id="2111" w:name="_Toc8099"/>
      <w:bookmarkStart w:id="2112" w:name="_Toc491"/>
      <w:bookmarkStart w:id="2113" w:name="_Toc26194"/>
      <w:bookmarkStart w:id="2114" w:name="_Toc12633"/>
      <w:bookmarkStart w:id="2115" w:name="_Toc16583_WPSOffice_Level2"/>
      <w:bookmarkStart w:id="2116" w:name="_Toc9778"/>
      <w:bookmarkStart w:id="2117" w:name="_Toc24818"/>
      <w:bookmarkStart w:id="2118" w:name="_Toc15228"/>
      <w:bookmarkStart w:id="2119" w:name="_Toc20425"/>
      <w:bookmarkStart w:id="2120" w:name="_Toc30043"/>
      <w:r>
        <w:rPr>
          <w:rFonts w:hint="eastAsia" w:ascii="楷体_GB2312" w:hAnsi="宋体" w:eastAsia="楷体_GB2312"/>
          <w:color w:val="000000" w:themeColor="text1"/>
          <w:kern w:val="3"/>
        </w:rPr>
        <w:t>7.5安全现状评价结论</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pPr>
        <w:spacing w:line="500" w:lineRule="exact"/>
        <w:ind w:firstLine="560" w:firstLineChars="200"/>
        <w:rPr>
          <w:rFonts w:eastAsiaTheme="minorEastAsia"/>
          <w:snapToGrid w:val="0"/>
          <w:color w:val="000000" w:themeColor="text1"/>
          <w:kern w:val="0"/>
          <w:sz w:val="28"/>
          <w:szCs w:val="28"/>
        </w:rPr>
      </w:pPr>
      <w:r>
        <w:rPr>
          <w:rFonts w:eastAsiaTheme="minorEastAsia"/>
          <w:snapToGrid w:val="0"/>
          <w:color w:val="000000" w:themeColor="text1"/>
          <w:kern w:val="0"/>
          <w:sz w:val="28"/>
          <w:szCs w:val="28"/>
        </w:rPr>
        <w:t>1</w:t>
      </w:r>
      <w:r>
        <w:rPr>
          <w:rFonts w:hint="eastAsia" w:eastAsiaTheme="minorEastAsia"/>
          <w:snapToGrid w:val="0"/>
          <w:color w:val="000000" w:themeColor="text1"/>
          <w:kern w:val="0"/>
          <w:sz w:val="28"/>
          <w:szCs w:val="28"/>
        </w:rPr>
        <w:t>.该项目甲醇储存设施与厂外周边环境的防火间距符合《危险化学品安全管理条例》（中华人民共和国国务院令第591号，2015年修订）、《工业企业总平面设计规范》（GB50187-2012）、《建筑设计防火规范（2018年版）》（GB50016-2014）、《汽车加油加气加氢站技术标准》（GB50156-2021）等有关标准规范的要求。</w:t>
      </w:r>
    </w:p>
    <w:p>
      <w:pPr>
        <w:spacing w:line="500" w:lineRule="exact"/>
        <w:ind w:firstLine="560" w:firstLineChars="200"/>
        <w:rPr>
          <w:rFonts w:eastAsiaTheme="minorEastAsia"/>
          <w:snapToGrid w:val="0"/>
          <w:color w:val="000000" w:themeColor="text1"/>
          <w:kern w:val="0"/>
          <w:sz w:val="28"/>
          <w:szCs w:val="28"/>
        </w:rPr>
      </w:pPr>
      <w:r>
        <w:rPr>
          <w:rFonts w:hint="eastAsia" w:eastAsiaTheme="minorEastAsia"/>
          <w:snapToGrid w:val="0"/>
          <w:color w:val="000000" w:themeColor="text1"/>
          <w:kern w:val="0"/>
          <w:sz w:val="28"/>
          <w:szCs w:val="28"/>
        </w:rPr>
        <w:t>2.该项目总平面布置以及甲醇储存、装卸设施的防火间距均符合《建筑设计防火规范（2018年版）》（GB50016-2014）、《汽车加油加气加氢站技术标准》（GB50156-2021）等相关标准、规范的要求。</w:t>
      </w:r>
    </w:p>
    <w:p>
      <w:pPr>
        <w:spacing w:line="500" w:lineRule="exact"/>
        <w:ind w:firstLine="560" w:firstLineChars="200"/>
        <w:rPr>
          <w:rFonts w:eastAsiaTheme="minorEastAsia"/>
          <w:snapToGrid w:val="0"/>
          <w:color w:val="000000" w:themeColor="text1"/>
          <w:kern w:val="0"/>
          <w:sz w:val="28"/>
          <w:szCs w:val="28"/>
        </w:rPr>
      </w:pPr>
      <w:r>
        <w:rPr>
          <w:rFonts w:hint="eastAsia" w:eastAsiaTheme="minorEastAsia"/>
          <w:snapToGrid w:val="0"/>
          <w:color w:val="000000" w:themeColor="text1"/>
          <w:kern w:val="0"/>
          <w:sz w:val="28"/>
          <w:szCs w:val="28"/>
          <w:lang w:val="en-US" w:eastAsia="zh-CN"/>
        </w:rPr>
        <w:t>3</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该项目甲醇储存工艺设备、设施符合《汽车加油加气加氢站技术标准》（GB50156-2021）</w:t>
      </w:r>
      <w:r>
        <w:rPr>
          <w:rFonts w:hint="eastAsia" w:eastAsiaTheme="minorEastAsia"/>
          <w:snapToGrid w:val="0"/>
          <w:color w:val="000000" w:themeColor="text1"/>
          <w:kern w:val="0"/>
          <w:sz w:val="28"/>
          <w:szCs w:val="28"/>
        </w:rPr>
        <w:t>中的</w:t>
      </w:r>
      <w:r>
        <w:rPr>
          <w:rFonts w:eastAsiaTheme="minorEastAsia"/>
          <w:snapToGrid w:val="0"/>
          <w:color w:val="000000" w:themeColor="text1"/>
          <w:kern w:val="0"/>
          <w:sz w:val="28"/>
          <w:szCs w:val="28"/>
        </w:rPr>
        <w:t>要求</w:t>
      </w:r>
      <w:r>
        <w:rPr>
          <w:rFonts w:hint="eastAsia" w:eastAsiaTheme="minorEastAsia"/>
          <w:snapToGrid w:val="0"/>
          <w:color w:val="000000" w:themeColor="text1"/>
          <w:kern w:val="0"/>
          <w:sz w:val="28"/>
          <w:szCs w:val="28"/>
        </w:rPr>
        <w:t>1.</w:t>
      </w:r>
      <w:r>
        <w:rPr>
          <w:rFonts w:eastAsiaTheme="minorEastAsia"/>
          <w:snapToGrid w:val="0"/>
          <w:color w:val="000000" w:themeColor="text1"/>
          <w:kern w:val="0"/>
          <w:sz w:val="28"/>
          <w:szCs w:val="28"/>
        </w:rPr>
        <w:t>该项目供配电系统除视频监控系统无UPS电源外，</w:t>
      </w:r>
      <w:r>
        <w:rPr>
          <w:rFonts w:hint="eastAsia" w:eastAsiaTheme="minorEastAsia"/>
          <w:snapToGrid w:val="0"/>
          <w:color w:val="000000" w:themeColor="text1"/>
          <w:kern w:val="0"/>
          <w:sz w:val="28"/>
          <w:szCs w:val="28"/>
        </w:rPr>
        <w:t>其余均符合</w:t>
      </w:r>
      <w:r>
        <w:rPr>
          <w:rFonts w:eastAsiaTheme="minorEastAsia"/>
          <w:snapToGrid w:val="0"/>
          <w:color w:val="000000" w:themeColor="text1"/>
          <w:kern w:val="0"/>
          <w:sz w:val="28"/>
          <w:szCs w:val="28"/>
        </w:rPr>
        <w:t>《低压配电设计规范》（GB50054-2011）、《汽车加油加气加氢站技术标准》（GB50156-2021）、《加油加气站视频安防监控系统技术要求》（AQT3050-2013）、《通用用电设备配电设计规范》（GB50055-2011）、《20kV及以下变电所设计规范》（GB50053-2013）、《用电安全导则》（GB/T 13869-2017）等标准、规范的要求。</w:t>
      </w:r>
    </w:p>
    <w:p>
      <w:pPr>
        <w:spacing w:line="500" w:lineRule="exact"/>
        <w:ind w:firstLine="560" w:firstLineChars="200"/>
        <w:rPr>
          <w:rFonts w:eastAsiaTheme="minorEastAsia"/>
          <w:snapToGrid w:val="0"/>
          <w:color w:val="000000" w:themeColor="text1"/>
          <w:kern w:val="0"/>
          <w:sz w:val="28"/>
          <w:szCs w:val="28"/>
        </w:rPr>
      </w:pPr>
      <w:r>
        <w:rPr>
          <w:rFonts w:hint="eastAsia" w:eastAsiaTheme="minorEastAsia"/>
          <w:snapToGrid w:val="0"/>
          <w:color w:val="000000" w:themeColor="text1"/>
          <w:kern w:val="0"/>
          <w:sz w:val="28"/>
          <w:szCs w:val="28"/>
        </w:rPr>
        <w:t>5.</w:t>
      </w:r>
      <w:r>
        <w:rPr>
          <w:rFonts w:eastAsiaTheme="minorEastAsia"/>
          <w:snapToGrid w:val="0"/>
          <w:color w:val="000000" w:themeColor="text1"/>
          <w:kern w:val="0"/>
          <w:sz w:val="28"/>
          <w:szCs w:val="28"/>
        </w:rPr>
        <w:t>该项目消防及给水系统除办公区未设置手提式灭火器外，其余均符合《建筑灭火器配置设计规范》（GB50140-2005）、《汽车加油加气加氢站技术标准》（GB50156-2021）、《云南省消防条例》（2001年3月29日省九届人大常委会第二十一次会议通过）等</w:t>
      </w:r>
      <w:r>
        <w:rPr>
          <w:rFonts w:hint="eastAsia" w:eastAsiaTheme="minorEastAsia"/>
          <w:snapToGrid w:val="0"/>
          <w:color w:val="000000" w:themeColor="text1"/>
          <w:kern w:val="0"/>
          <w:sz w:val="28"/>
          <w:szCs w:val="28"/>
        </w:rPr>
        <w:t>法规、</w:t>
      </w:r>
      <w:r>
        <w:rPr>
          <w:rFonts w:eastAsiaTheme="minorEastAsia"/>
          <w:snapToGrid w:val="0"/>
          <w:color w:val="000000" w:themeColor="text1"/>
          <w:kern w:val="0"/>
          <w:sz w:val="28"/>
          <w:szCs w:val="28"/>
        </w:rPr>
        <w:t>标准规范的要求。</w:t>
      </w:r>
    </w:p>
    <w:p>
      <w:pPr>
        <w:spacing w:line="500" w:lineRule="exact"/>
        <w:ind w:firstLine="560" w:firstLineChars="200"/>
        <w:rPr>
          <w:rFonts w:eastAsiaTheme="minorEastAsia"/>
          <w:snapToGrid w:val="0"/>
          <w:color w:val="000000" w:themeColor="text1"/>
          <w:kern w:val="0"/>
          <w:sz w:val="28"/>
          <w:szCs w:val="28"/>
        </w:rPr>
      </w:pPr>
      <w:r>
        <w:rPr>
          <w:rFonts w:hint="eastAsia" w:eastAsiaTheme="minorEastAsia"/>
          <w:snapToGrid w:val="0"/>
          <w:color w:val="000000" w:themeColor="text1"/>
          <w:kern w:val="0"/>
          <w:sz w:val="28"/>
          <w:szCs w:val="28"/>
        </w:rPr>
        <w:t>6.</w:t>
      </w:r>
      <w:r>
        <w:rPr>
          <w:rFonts w:eastAsiaTheme="minorEastAsia"/>
          <w:snapToGrid w:val="0"/>
          <w:color w:val="000000" w:themeColor="text1"/>
          <w:kern w:val="0"/>
          <w:sz w:val="28"/>
          <w:szCs w:val="28"/>
        </w:rPr>
        <w:t>该项目防雷、防静电装置</w:t>
      </w:r>
      <w:r>
        <w:rPr>
          <w:rFonts w:hint="eastAsia" w:eastAsiaTheme="minorEastAsia"/>
          <w:snapToGrid w:val="0"/>
          <w:color w:val="000000" w:themeColor="text1"/>
          <w:kern w:val="0"/>
          <w:sz w:val="28"/>
          <w:szCs w:val="28"/>
        </w:rPr>
        <w:t>除现场未设置静电接地装置，未设置人体静电释放装置外，其他符合</w:t>
      </w:r>
      <w:r>
        <w:rPr>
          <w:rFonts w:eastAsiaTheme="minorEastAsia"/>
          <w:snapToGrid w:val="0"/>
          <w:color w:val="000000" w:themeColor="text1"/>
          <w:kern w:val="0"/>
          <w:sz w:val="28"/>
          <w:szCs w:val="28"/>
        </w:rPr>
        <w:t>《汽车加油加气</w:t>
      </w:r>
      <w:r>
        <w:rPr>
          <w:rFonts w:hint="eastAsia" w:eastAsiaTheme="minorEastAsia"/>
          <w:snapToGrid w:val="0"/>
          <w:color w:val="000000" w:themeColor="text1"/>
          <w:kern w:val="0"/>
          <w:sz w:val="28"/>
          <w:szCs w:val="28"/>
        </w:rPr>
        <w:t>加氢技术标准</w:t>
      </w:r>
      <w:r>
        <w:rPr>
          <w:rFonts w:eastAsiaTheme="minorEastAsia"/>
          <w:snapToGrid w:val="0"/>
          <w:color w:val="000000" w:themeColor="text1"/>
          <w:kern w:val="0"/>
          <w:sz w:val="28"/>
          <w:szCs w:val="28"/>
        </w:rPr>
        <w:t>》（GB50156-2021）的要求</w:t>
      </w:r>
    </w:p>
    <w:p>
      <w:pPr>
        <w:spacing w:line="500" w:lineRule="exact"/>
        <w:ind w:firstLine="560" w:firstLineChars="200"/>
        <w:rPr>
          <w:rFonts w:eastAsiaTheme="minorEastAsia"/>
          <w:snapToGrid w:val="0"/>
          <w:color w:val="000000" w:themeColor="text1"/>
          <w:kern w:val="0"/>
          <w:sz w:val="28"/>
          <w:szCs w:val="28"/>
        </w:rPr>
      </w:pPr>
      <w:r>
        <w:rPr>
          <w:rFonts w:hint="eastAsia" w:eastAsiaTheme="minorEastAsia"/>
          <w:snapToGrid w:val="0"/>
          <w:color w:val="000000" w:themeColor="text1"/>
          <w:kern w:val="0"/>
          <w:sz w:val="28"/>
          <w:szCs w:val="28"/>
        </w:rPr>
        <w:t>7.</w:t>
      </w:r>
      <w:r>
        <w:rPr>
          <w:rFonts w:eastAsiaTheme="minorEastAsia"/>
          <w:snapToGrid w:val="0"/>
          <w:color w:val="000000" w:themeColor="text1"/>
          <w:kern w:val="0"/>
          <w:sz w:val="28"/>
          <w:szCs w:val="28"/>
        </w:rPr>
        <w:t>该项目</w:t>
      </w:r>
      <w:r>
        <w:rPr>
          <w:rFonts w:hint="eastAsia" w:eastAsiaTheme="minorEastAsia"/>
          <w:snapToGrid w:val="0"/>
          <w:color w:val="000000" w:themeColor="text1"/>
          <w:kern w:val="0"/>
          <w:sz w:val="28"/>
          <w:szCs w:val="28"/>
          <w:lang w:val="en-US" w:eastAsia="zh-CN"/>
        </w:rPr>
        <w:t>除</w:t>
      </w:r>
      <w:r>
        <w:rPr>
          <w:rFonts w:eastAsiaTheme="minorEastAsia"/>
          <w:snapToGrid w:val="0"/>
          <w:color w:val="000000" w:themeColor="text1"/>
          <w:kern w:val="0"/>
          <w:sz w:val="28"/>
          <w:szCs w:val="28"/>
        </w:rPr>
        <w:t>埋地甲醇罐操作井盖无介质流向标识等问题外，其余均符合《生产设备安全卫生设计总则》（</w:t>
      </w:r>
      <w:r>
        <w:rPr>
          <w:rFonts w:hint="eastAsia" w:eastAsiaTheme="minorEastAsia"/>
          <w:snapToGrid w:val="0"/>
          <w:color w:val="000000" w:themeColor="text1"/>
          <w:kern w:val="0"/>
          <w:sz w:val="28"/>
          <w:szCs w:val="28"/>
          <w:lang w:eastAsia="zh-CN"/>
        </w:rPr>
        <w:t>GB5083-2023</w:t>
      </w:r>
      <w:r>
        <w:rPr>
          <w:rFonts w:eastAsiaTheme="minorEastAsia"/>
          <w:snapToGrid w:val="0"/>
          <w:color w:val="000000" w:themeColor="text1"/>
          <w:kern w:val="0"/>
          <w:sz w:val="28"/>
          <w:szCs w:val="28"/>
        </w:rPr>
        <w:t>）、《化学品作业场所安全警示标志规范》（AQ 3047</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2013）、《工业企业设计卫生标准》（GBZ1-2010）、《固定式钢梯及平台安全要求 第3部分工业防护栏杆及钢平台》（GB 4053.3-2009）、《化工企业安全卫生设计规范》（HG20571-2014）、《工业管道的基本识别色、识别符合和安全标识》（GB231-2003）</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《机械安全防护装置 固定式和活动式防护装置的设计与制造一般要求》（GB/T 8196-2018）</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《爆炸危险环境电力装置设计规范》（GB50058-2014）</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《汽车加油加气加氢站技术标准》（GB50156-2021）等标准、规范的要求</w:t>
      </w:r>
    </w:p>
    <w:p>
      <w:pPr>
        <w:spacing w:line="500" w:lineRule="exact"/>
        <w:ind w:firstLine="560" w:firstLineChars="200"/>
        <w:rPr>
          <w:rFonts w:eastAsiaTheme="minorEastAsia"/>
          <w:snapToGrid w:val="0"/>
          <w:color w:val="000000" w:themeColor="text1"/>
          <w:kern w:val="0"/>
          <w:sz w:val="28"/>
          <w:szCs w:val="28"/>
        </w:rPr>
      </w:pPr>
      <w:r>
        <w:rPr>
          <w:rFonts w:hint="eastAsia" w:eastAsiaTheme="minorEastAsia"/>
          <w:snapToGrid w:val="0"/>
          <w:color w:val="000000" w:themeColor="text1"/>
          <w:kern w:val="0"/>
          <w:sz w:val="28"/>
          <w:szCs w:val="28"/>
        </w:rPr>
        <w:t>8.</w:t>
      </w:r>
      <w:r>
        <w:rPr>
          <w:rFonts w:eastAsiaTheme="minorEastAsia"/>
          <w:snapToGrid w:val="0"/>
          <w:color w:val="000000" w:themeColor="text1"/>
          <w:kern w:val="0"/>
          <w:sz w:val="28"/>
          <w:szCs w:val="28"/>
        </w:rPr>
        <w:t>该项目</w:t>
      </w:r>
      <w:r>
        <w:rPr>
          <w:rFonts w:hint="eastAsia" w:eastAsiaTheme="minorEastAsia"/>
          <w:snapToGrid w:val="0"/>
          <w:color w:val="000000" w:themeColor="text1"/>
          <w:kern w:val="0"/>
          <w:sz w:val="28"/>
          <w:szCs w:val="28"/>
        </w:rPr>
        <w:t>符合</w:t>
      </w:r>
      <w:r>
        <w:rPr>
          <w:rFonts w:eastAsiaTheme="minorEastAsia"/>
          <w:snapToGrid w:val="0"/>
          <w:color w:val="000000" w:themeColor="text1"/>
          <w:kern w:val="0"/>
          <w:sz w:val="28"/>
          <w:szCs w:val="28"/>
        </w:rPr>
        <w:t>《中华人民共和国安全生产法》（中华人民共和国主席令第八十八号）、《生产经营单位安全培训规定》（国家安全生产监督管理总局令第3号，根据2013年8月29日国家安全监管总局令第63号第一次修正，根据2015年5月29日国家安全生产监管总局令第80号第二次修正）、《生产安全事故应急预案管理办法》（根据2019年6月24日《应急管理部关于修改〈生产安全事故应急预案管理办法〉的决定》修订，自2019年9月1日起实施）</w:t>
      </w:r>
      <w:r>
        <w:rPr>
          <w:rFonts w:hint="eastAsia" w:eastAsiaTheme="minorEastAsia"/>
          <w:snapToGrid w:val="0"/>
          <w:color w:val="000000" w:themeColor="text1"/>
          <w:kern w:val="0"/>
          <w:sz w:val="28"/>
          <w:szCs w:val="28"/>
        </w:rPr>
        <w:t>、</w:t>
      </w:r>
      <w:r>
        <w:rPr>
          <w:rFonts w:eastAsiaTheme="minorEastAsia"/>
          <w:snapToGrid w:val="0"/>
          <w:color w:val="000000" w:themeColor="text1"/>
          <w:kern w:val="0"/>
          <w:sz w:val="28"/>
          <w:szCs w:val="28"/>
        </w:rPr>
        <w:t>《云南省安全生产条例》等法律法规、标准规范的相关要求</w:t>
      </w:r>
      <w:r>
        <w:rPr>
          <w:rFonts w:hint="eastAsia" w:eastAsiaTheme="minorEastAsia"/>
          <w:snapToGrid w:val="0"/>
          <w:color w:val="000000" w:themeColor="text1"/>
          <w:kern w:val="0"/>
          <w:sz w:val="28"/>
          <w:szCs w:val="28"/>
        </w:rPr>
        <w:t>。</w:t>
      </w:r>
    </w:p>
    <w:p>
      <w:pPr>
        <w:spacing w:line="500" w:lineRule="exact"/>
        <w:ind w:firstLine="560" w:firstLineChars="200"/>
        <w:rPr>
          <w:rFonts w:hint="eastAsia" w:ascii="宋体" w:hAnsi="宋体"/>
          <w:color w:val="000000"/>
          <w:sz w:val="28"/>
          <w:szCs w:val="28"/>
        </w:rPr>
      </w:pPr>
      <w:r>
        <w:rPr>
          <w:rFonts w:hint="eastAsia" w:ascii="宋体" w:hAnsi="宋体"/>
          <w:color w:val="000000"/>
          <w:sz w:val="28"/>
          <w:szCs w:val="28"/>
        </w:rPr>
        <w:t>根据《中华人民共和国安全生产法》、《危险化学品安全管理条例》、《危险化学品经营许可证管理办法》、《安全评价通则》及相关规范的要求，评价小组认为昭通市耀晨甲醇醇油有限公司的安全管理制度、从业人员、经营和储存场所、经营储存条件、消防设施等基本符合安全要求。</w:t>
      </w:r>
    </w:p>
    <w:p>
      <w:pPr>
        <w:spacing w:line="500" w:lineRule="exact"/>
        <w:ind w:firstLine="562" w:firstLineChars="200"/>
        <w:rPr>
          <w:snapToGrid w:val="0"/>
          <w:color w:val="000000" w:themeColor="text1"/>
          <w:kern w:val="0"/>
          <w:sz w:val="28"/>
          <w:szCs w:val="28"/>
        </w:rPr>
      </w:pPr>
      <w:r>
        <w:rPr>
          <w:rFonts w:hint="eastAsia" w:ascii="宋体" w:hAnsi="宋体"/>
          <w:b/>
          <w:color w:val="000000"/>
          <w:sz w:val="28"/>
          <w:szCs w:val="28"/>
          <w:lang w:eastAsia="zh-CN"/>
        </w:rPr>
        <w:t>安全现状评价</w:t>
      </w:r>
      <w:r>
        <w:rPr>
          <w:rFonts w:hint="eastAsia" w:ascii="宋体" w:hAnsi="宋体"/>
          <w:b/>
          <w:color w:val="000000"/>
          <w:sz w:val="28"/>
          <w:szCs w:val="28"/>
        </w:rPr>
        <w:t>结论：昭通市耀晨甲醇醇油有限公司的现状符合国家有关安全方面的法律、法规、标准、规程、规章的有关要求，其安全现状符合安全要求</w:t>
      </w:r>
      <w:r>
        <w:rPr>
          <w:snapToGrid w:val="0"/>
          <w:color w:val="000000" w:themeColor="text1"/>
          <w:kern w:val="0"/>
          <w:sz w:val="28"/>
          <w:szCs w:val="28"/>
        </w:rPr>
        <w:t>。</w:t>
      </w:r>
    </w:p>
    <w:p>
      <w:pPr>
        <w:rPr>
          <w:snapToGrid w:val="0"/>
          <w:color w:val="000000" w:themeColor="text1"/>
          <w:kern w:val="0"/>
          <w:sz w:val="28"/>
          <w:szCs w:val="28"/>
        </w:rPr>
      </w:pPr>
      <w:r>
        <w:rPr>
          <w:snapToGrid w:val="0"/>
          <w:color w:val="000000" w:themeColor="text1"/>
          <w:kern w:val="0"/>
          <w:sz w:val="28"/>
          <w:szCs w:val="28"/>
        </w:rPr>
        <w:br w:type="page"/>
      </w:r>
    </w:p>
    <w:p>
      <w:pPr>
        <w:pStyle w:val="19"/>
        <w:spacing w:after="312" w:afterLines="100" w:line="500" w:lineRule="exact"/>
        <w:jc w:val="center"/>
        <w:rPr>
          <w:rFonts w:ascii="楷体_GB2312" w:hAnsi="宋体" w:eastAsia="楷体_GB2312"/>
          <w:color w:val="000000"/>
          <w:kern w:val="3"/>
        </w:rPr>
      </w:pPr>
      <w:bookmarkStart w:id="2121" w:name="_Toc196033084"/>
      <w:bookmarkStart w:id="2122" w:name="_Toc19451_WPSOffice_Level1"/>
      <w:bookmarkStart w:id="2123" w:name="_Toc321068255"/>
      <w:bookmarkStart w:id="2124" w:name="_Toc3357"/>
      <w:bookmarkStart w:id="2125" w:name="_Toc26694228"/>
      <w:bookmarkStart w:id="2126" w:name="_Toc26694551"/>
      <w:r>
        <w:rPr>
          <w:rFonts w:hint="eastAsia" w:ascii="楷体_GB2312" w:hAnsi="宋体" w:eastAsia="楷体_GB2312"/>
          <w:color w:val="000000"/>
          <w:kern w:val="3"/>
        </w:rPr>
        <w:t>第</w:t>
      </w:r>
      <w:r>
        <w:rPr>
          <w:rFonts w:hint="eastAsia" w:ascii="楷体_GB2312" w:hAnsi="宋体" w:eastAsia="楷体_GB2312"/>
          <w:color w:val="000000"/>
          <w:kern w:val="3"/>
          <w:lang w:val="en-US" w:eastAsia="zh-CN"/>
        </w:rPr>
        <w:t>8</w:t>
      </w:r>
      <w:r>
        <w:rPr>
          <w:rFonts w:hint="eastAsia" w:ascii="楷体_GB2312" w:hAnsi="宋体" w:eastAsia="楷体_GB2312"/>
          <w:color w:val="000000"/>
          <w:kern w:val="3"/>
        </w:rPr>
        <w:t>章  与被评价单位交换意见的情况</w:t>
      </w:r>
      <w:bookmarkEnd w:id="2121"/>
      <w:bookmarkEnd w:id="2122"/>
      <w:bookmarkEnd w:id="2123"/>
      <w:bookmarkEnd w:id="2124"/>
    </w:p>
    <w:bookmarkEnd w:id="2125"/>
    <w:bookmarkEnd w:id="2126"/>
    <w:p>
      <w:pPr>
        <w:ind w:firstLine="560" w:firstLineChars="200"/>
        <w:rPr>
          <w:rFonts w:hint="eastAsia" w:ascii="宋体" w:hAnsi="宋体"/>
          <w:color w:val="000000"/>
          <w:sz w:val="28"/>
          <w:szCs w:val="28"/>
        </w:rPr>
      </w:pPr>
      <w:r>
        <w:rPr>
          <w:rFonts w:ascii="宋体" w:hAnsi="宋体"/>
          <w:color w:val="000000"/>
          <w:sz w:val="28"/>
          <w:szCs w:val="28"/>
        </w:rPr>
        <w:t>针对</w:t>
      </w:r>
      <w:r>
        <w:rPr>
          <w:rFonts w:hint="eastAsia"/>
          <w:color w:val="000000" w:themeColor="text1"/>
          <w:sz w:val="28"/>
        </w:rPr>
        <w:t>昭通市耀晨甲醇醇油有限公司</w:t>
      </w:r>
      <w:r>
        <w:rPr>
          <w:rFonts w:ascii="宋体" w:hAnsi="宋体"/>
          <w:color w:val="000000"/>
          <w:sz w:val="28"/>
          <w:szCs w:val="28"/>
        </w:rPr>
        <w:t>存在</w:t>
      </w:r>
      <w:r>
        <w:rPr>
          <w:rFonts w:hint="eastAsia" w:ascii="宋体" w:hAnsi="宋体"/>
          <w:color w:val="000000"/>
          <w:sz w:val="28"/>
          <w:szCs w:val="28"/>
        </w:rPr>
        <w:t>的</w:t>
      </w:r>
      <w:r>
        <w:rPr>
          <w:rFonts w:ascii="宋体" w:hAnsi="宋体"/>
          <w:color w:val="000000"/>
          <w:sz w:val="28"/>
          <w:szCs w:val="28"/>
        </w:rPr>
        <w:t>问题，</w:t>
      </w:r>
      <w:r>
        <w:rPr>
          <w:rFonts w:hint="eastAsia" w:ascii="宋体" w:hAnsi="宋体"/>
          <w:color w:val="000000"/>
          <w:sz w:val="28"/>
          <w:szCs w:val="28"/>
        </w:rPr>
        <w:t>评价组</w:t>
      </w:r>
      <w:r>
        <w:rPr>
          <w:rFonts w:ascii="宋体" w:hAnsi="宋体"/>
          <w:color w:val="000000"/>
          <w:sz w:val="28"/>
          <w:szCs w:val="28"/>
        </w:rPr>
        <w:t>向</w:t>
      </w:r>
      <w:r>
        <w:rPr>
          <w:rFonts w:hint="eastAsia"/>
          <w:color w:val="000000" w:themeColor="text1"/>
          <w:sz w:val="28"/>
        </w:rPr>
        <w:t>昭通市耀晨甲醇醇油有限公司</w:t>
      </w:r>
      <w:r>
        <w:rPr>
          <w:rFonts w:hint="eastAsia" w:ascii="宋体" w:hAnsi="宋体"/>
          <w:color w:val="000000"/>
          <w:sz w:val="28"/>
          <w:szCs w:val="28"/>
        </w:rPr>
        <w:t>发出“整改建议书”，</w:t>
      </w:r>
      <w:r>
        <w:rPr>
          <w:rFonts w:hint="eastAsia"/>
          <w:color w:val="000000" w:themeColor="text1"/>
          <w:sz w:val="28"/>
        </w:rPr>
        <w:t>昭通市耀晨甲醇醇油有限公司</w:t>
      </w:r>
      <w:r>
        <w:rPr>
          <w:rFonts w:hint="eastAsia"/>
          <w:color w:val="000000" w:themeColor="text1"/>
          <w:sz w:val="28"/>
          <w:lang w:val="en-US" w:eastAsia="zh-CN"/>
        </w:rPr>
        <w:t>已对存在问题进行整改，同时昭通市鼎安科技有限公司对</w:t>
      </w:r>
      <w:r>
        <w:rPr>
          <w:rFonts w:hint="eastAsia"/>
          <w:color w:val="000000" w:themeColor="text1"/>
          <w:sz w:val="28"/>
        </w:rPr>
        <w:t>昭通市耀晨甲醇醇油有限公司</w:t>
      </w:r>
      <w:r>
        <w:rPr>
          <w:rFonts w:hint="eastAsia" w:ascii="宋体" w:hAnsi="宋体"/>
          <w:color w:val="000000"/>
          <w:sz w:val="28"/>
          <w:szCs w:val="28"/>
        </w:rPr>
        <w:t>提出下面的改进建议：</w:t>
      </w:r>
    </w:p>
    <w:p>
      <w:pPr>
        <w:ind w:firstLine="570"/>
        <w:rPr>
          <w:rFonts w:hint="eastAsia" w:ascii="宋体" w:hAnsi="宋体" w:cs="宋体"/>
          <w:color w:val="000000"/>
          <w:sz w:val="28"/>
          <w:szCs w:val="21"/>
        </w:rPr>
      </w:pPr>
      <w:r>
        <w:rPr>
          <w:rFonts w:hint="eastAsia" w:ascii="宋体" w:hAnsi="宋体" w:cs="宋体"/>
          <w:color w:val="000000"/>
          <w:sz w:val="28"/>
          <w:szCs w:val="21"/>
        </w:rPr>
        <w:t>1.</w:t>
      </w:r>
      <w:r>
        <w:rPr>
          <w:rFonts w:hint="eastAsia"/>
          <w:color w:val="000000" w:themeColor="text1"/>
          <w:sz w:val="28"/>
        </w:rPr>
        <w:t>昭通市耀晨甲醇醇油有限公司</w:t>
      </w:r>
      <w:r>
        <w:rPr>
          <w:rFonts w:hint="eastAsia"/>
          <w:color w:val="000000" w:themeColor="text1"/>
          <w:sz w:val="28"/>
          <w:lang w:val="en-US" w:eastAsia="zh-CN"/>
        </w:rPr>
        <w:t>未进行标准化创建评审，但</w:t>
      </w:r>
      <w:r>
        <w:rPr>
          <w:rFonts w:hint="eastAsia"/>
          <w:color w:val="000000" w:themeColor="text1"/>
          <w:sz w:val="28"/>
        </w:rPr>
        <w:t>昭通市耀晨甲醇醇油有限公司</w:t>
      </w:r>
      <w:r>
        <w:rPr>
          <w:rFonts w:hint="eastAsia" w:ascii="宋体" w:hAnsi="宋体"/>
          <w:color w:val="000000"/>
          <w:sz w:val="28"/>
          <w:szCs w:val="28"/>
        </w:rPr>
        <w:t>应严格按规范要求</w:t>
      </w:r>
      <w:r>
        <w:rPr>
          <w:rFonts w:ascii="宋体" w:hAnsi="宋体"/>
          <w:color w:val="000000"/>
          <w:sz w:val="28"/>
          <w:szCs w:val="28"/>
        </w:rPr>
        <w:t>《危险化学品从业单位安全标准化通用规范》（AQ3013-2008）</w:t>
      </w:r>
      <w:r>
        <w:rPr>
          <w:rFonts w:hint="eastAsia" w:ascii="宋体" w:hAnsi="宋体"/>
          <w:color w:val="000000"/>
          <w:sz w:val="28"/>
          <w:szCs w:val="28"/>
        </w:rPr>
        <w:t>的要求进行档案台帐建设。</w:t>
      </w:r>
    </w:p>
    <w:p>
      <w:pPr>
        <w:ind w:firstLine="570"/>
        <w:rPr>
          <w:rFonts w:hint="eastAsia" w:ascii="宋体" w:hAnsi="宋体" w:cs="宋体"/>
          <w:color w:val="000000"/>
          <w:sz w:val="28"/>
          <w:szCs w:val="21"/>
        </w:rPr>
      </w:pPr>
      <w:r>
        <w:rPr>
          <w:rFonts w:hint="eastAsia" w:ascii="宋体" w:hAnsi="宋体" w:cs="宋体"/>
          <w:color w:val="000000"/>
          <w:sz w:val="28"/>
          <w:szCs w:val="21"/>
        </w:rPr>
        <w:t>2.认真贯彻落实“一企一标准”安全大检查长效机制工作。</w:t>
      </w:r>
    </w:p>
    <w:p>
      <w:pPr>
        <w:ind w:firstLine="570"/>
        <w:rPr>
          <w:rFonts w:hint="eastAsia" w:ascii="宋体" w:hAnsi="宋体" w:cs="宋体"/>
          <w:color w:val="000000"/>
          <w:sz w:val="28"/>
          <w:szCs w:val="21"/>
        </w:rPr>
      </w:pPr>
      <w:r>
        <w:rPr>
          <w:rFonts w:hint="eastAsia" w:ascii="宋体" w:hAnsi="宋体" w:cs="宋体"/>
          <w:color w:val="000000"/>
          <w:sz w:val="28"/>
          <w:szCs w:val="21"/>
        </w:rPr>
        <w:t>3.昭通市耀晨甲醇醇油有限公司应定期请相关部门对消防设施进行检查，发现问题及时整改。</w:t>
      </w:r>
    </w:p>
    <w:p>
      <w:pPr>
        <w:ind w:firstLine="570"/>
        <w:rPr>
          <w:rFonts w:hint="eastAsia" w:ascii="宋体" w:hAnsi="宋体" w:cs="宋体"/>
          <w:color w:val="000000"/>
          <w:sz w:val="28"/>
          <w:szCs w:val="21"/>
        </w:rPr>
      </w:pPr>
      <w:r>
        <w:rPr>
          <w:rFonts w:hint="eastAsia" w:ascii="宋体" w:hAnsi="宋体" w:cs="宋体"/>
          <w:color w:val="000000"/>
          <w:sz w:val="28"/>
          <w:szCs w:val="21"/>
        </w:rPr>
        <w:t>4.按现行的法律、法规修改完善安全管理制度、各级人员安全职责。</w:t>
      </w:r>
      <w:bookmarkStart w:id="2182" w:name="_GoBack"/>
      <w:bookmarkEnd w:id="2182"/>
    </w:p>
    <w:p>
      <w:pPr>
        <w:ind w:firstLine="570"/>
        <w:rPr>
          <w:rFonts w:hint="default" w:ascii="宋体" w:hAnsi="宋体" w:cs="宋体"/>
          <w:color w:val="000000"/>
          <w:sz w:val="28"/>
          <w:szCs w:val="21"/>
          <w:lang w:val="en-US" w:eastAsia="zh-CN"/>
        </w:rPr>
      </w:pPr>
      <w:r>
        <w:rPr>
          <w:rFonts w:hint="eastAsia" w:ascii="宋体" w:hAnsi="宋体" w:cs="宋体"/>
          <w:color w:val="000000"/>
          <w:sz w:val="28"/>
          <w:szCs w:val="21"/>
          <w:lang w:val="en-US" w:eastAsia="zh-CN"/>
        </w:rPr>
        <w:t>5.公司工作人员较少，但外来车辆及加注甲醇车辆较多，公司应加强外来车辆及人员的安全教育培训。</w:t>
      </w:r>
    </w:p>
    <w:p>
      <w:pPr>
        <w:ind w:firstLine="570"/>
        <w:rPr>
          <w:rFonts w:hint="eastAsia" w:ascii="宋体" w:hAnsi="宋体" w:cs="宋体"/>
          <w:color w:val="000000"/>
          <w:sz w:val="28"/>
          <w:szCs w:val="21"/>
        </w:rPr>
      </w:pPr>
      <w:r>
        <w:rPr>
          <w:rFonts w:hint="eastAsia" w:ascii="宋体" w:hAnsi="宋体" w:cs="宋体"/>
          <w:color w:val="000000"/>
          <w:sz w:val="28"/>
          <w:szCs w:val="21"/>
          <w:lang w:val="en-US" w:eastAsia="zh-CN"/>
        </w:rPr>
        <w:t>6</w:t>
      </w:r>
      <w:r>
        <w:rPr>
          <w:rFonts w:hint="eastAsia" w:ascii="宋体" w:hAnsi="宋体" w:cs="宋体"/>
          <w:color w:val="000000"/>
          <w:sz w:val="28"/>
          <w:szCs w:val="21"/>
        </w:rPr>
        <w:t>.不断完善安全管理制度、补充应急值班制度。</w:t>
      </w:r>
    </w:p>
    <w:p>
      <w:pPr>
        <w:ind w:firstLine="570"/>
        <w:rPr>
          <w:rFonts w:hint="eastAsia" w:ascii="宋体" w:hAnsi="宋体"/>
          <w:color w:val="000000"/>
          <w:sz w:val="28"/>
          <w:szCs w:val="28"/>
        </w:rPr>
      </w:pPr>
      <w:r>
        <w:rPr>
          <w:rFonts w:hint="eastAsia" w:ascii="宋体" w:hAnsi="宋体" w:cs="宋体"/>
          <w:color w:val="000000"/>
          <w:sz w:val="28"/>
          <w:szCs w:val="21"/>
        </w:rPr>
        <w:t>昭通市耀晨甲醇醇油有限公司对评价小组提出的意见和建议基本接受</w:t>
      </w:r>
      <w:r>
        <w:rPr>
          <w:rFonts w:hint="eastAsia" w:ascii="宋体" w:hAnsi="宋体"/>
          <w:color w:val="000000"/>
          <w:sz w:val="28"/>
          <w:szCs w:val="28"/>
        </w:rPr>
        <w:t>。</w:t>
      </w:r>
    </w:p>
    <w:p>
      <w:pPr>
        <w:pStyle w:val="2"/>
      </w:pPr>
    </w:p>
    <w:p>
      <w:pPr>
        <w:keepNext/>
        <w:keepLines/>
        <w:adjustRightInd w:val="0"/>
        <w:snapToGrid w:val="0"/>
        <w:spacing w:line="500" w:lineRule="exact"/>
        <w:jc w:val="center"/>
        <w:outlineLvl w:val="0"/>
        <w:rPr>
          <w:snapToGrid w:val="0"/>
          <w:color w:val="000000" w:themeColor="text1"/>
          <w:kern w:val="0"/>
        </w:rPr>
      </w:pPr>
      <w:r>
        <w:rPr>
          <w:snapToGrid w:val="0"/>
          <w:color w:val="000000" w:themeColor="text1"/>
          <w:kern w:val="0"/>
          <w:sz w:val="28"/>
          <w:szCs w:val="20"/>
        </w:rPr>
        <w:br w:type="page"/>
      </w:r>
      <w:bookmarkStart w:id="2127" w:name="_Toc12856"/>
      <w:bookmarkStart w:id="2128" w:name="_Toc18887"/>
      <w:bookmarkStart w:id="2129" w:name="_Toc12993"/>
      <w:bookmarkStart w:id="2130" w:name="_Toc16112"/>
      <w:bookmarkStart w:id="2131" w:name="_Toc13511"/>
      <w:bookmarkStart w:id="2132" w:name="_Toc23878"/>
      <w:bookmarkStart w:id="2133" w:name="_Toc24294"/>
      <w:bookmarkStart w:id="2134" w:name="_Toc4553"/>
      <w:bookmarkStart w:id="2135" w:name="_Toc21041"/>
      <w:bookmarkStart w:id="2136" w:name="_Toc25079"/>
      <w:bookmarkStart w:id="2137" w:name="_Toc8995_WPSOffice_Level1"/>
      <w:bookmarkStart w:id="2138" w:name="_Toc19249"/>
      <w:bookmarkStart w:id="2139" w:name="_Toc10063"/>
      <w:bookmarkStart w:id="2140" w:name="_Toc5167"/>
      <w:bookmarkStart w:id="2141" w:name="_Toc3589_WPSOffice_Level1"/>
      <w:bookmarkStart w:id="2142" w:name="_Toc24228"/>
      <w:bookmarkStart w:id="2143" w:name="_Toc12347"/>
      <w:r>
        <w:rPr>
          <w:rFonts w:eastAsia="黑体"/>
          <w:b/>
          <w:bCs/>
          <w:snapToGrid w:val="0"/>
          <w:color w:val="000000" w:themeColor="text1"/>
          <w:kern w:val="0"/>
          <w:sz w:val="44"/>
          <w:szCs w:val="44"/>
        </w:rPr>
        <w:t>附件目录</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pPr>
        <w:tabs>
          <w:tab w:val="center" w:pos="4252"/>
        </w:tabs>
        <w:adjustRightInd w:val="0"/>
        <w:snapToGrid w:val="0"/>
        <w:spacing w:line="500" w:lineRule="exact"/>
        <w:ind w:firstLine="560" w:firstLineChars="200"/>
        <w:rPr>
          <w:rFonts w:hint="eastAsia" w:ascii="宋体" w:hAnsi="宋体"/>
          <w:kern w:val="3"/>
          <w:sz w:val="28"/>
          <w:szCs w:val="28"/>
        </w:rPr>
      </w:pPr>
      <w:bookmarkStart w:id="2144" w:name="_Toc10544_WPSOffice_Level1"/>
      <w:bookmarkStart w:id="2145" w:name="_Toc17971_WPSOffice_Level1"/>
      <w:bookmarkStart w:id="2146" w:name="_Toc23367_WPSOffice_Level1"/>
      <w:r>
        <w:rPr>
          <w:rFonts w:hint="eastAsia" w:ascii="宋体" w:hAnsi="宋体"/>
          <w:kern w:val="3"/>
          <w:sz w:val="28"/>
          <w:szCs w:val="28"/>
          <w:lang w:val="en-US" w:eastAsia="zh-CN"/>
        </w:rPr>
        <w:t>附件一、</w:t>
      </w:r>
      <w:r>
        <w:rPr>
          <w:rFonts w:hint="eastAsia" w:ascii="宋体" w:hAnsi="宋体"/>
          <w:kern w:val="3"/>
          <w:sz w:val="28"/>
          <w:szCs w:val="28"/>
        </w:rPr>
        <w:t>委托书</w:t>
      </w:r>
      <w:bookmarkEnd w:id="2144"/>
      <w:bookmarkEnd w:id="2145"/>
    </w:p>
    <w:p>
      <w:pPr>
        <w:tabs>
          <w:tab w:val="center" w:pos="4252"/>
        </w:tabs>
        <w:adjustRightInd w:val="0"/>
        <w:snapToGrid w:val="0"/>
        <w:spacing w:line="500" w:lineRule="exact"/>
        <w:ind w:firstLine="560" w:firstLineChars="200"/>
        <w:rPr>
          <w:rFonts w:hint="eastAsia" w:ascii="宋体" w:hAnsi="宋体"/>
          <w:kern w:val="3"/>
          <w:sz w:val="28"/>
          <w:szCs w:val="28"/>
        </w:rPr>
      </w:pPr>
      <w:bookmarkStart w:id="2147" w:name="_Toc6105_WPSOffice_Level1"/>
      <w:bookmarkStart w:id="2148" w:name="_Toc30300_WPSOffice_Level1"/>
      <w:r>
        <w:rPr>
          <w:rFonts w:hint="eastAsia" w:ascii="宋体" w:hAnsi="宋体"/>
          <w:kern w:val="3"/>
          <w:sz w:val="28"/>
          <w:szCs w:val="28"/>
          <w:lang w:val="en-US" w:eastAsia="zh-CN"/>
        </w:rPr>
        <w:t>附件二、</w:t>
      </w:r>
      <w:r>
        <w:rPr>
          <w:rFonts w:hint="eastAsia" w:ascii="宋体" w:hAnsi="宋体"/>
          <w:kern w:val="3"/>
          <w:sz w:val="28"/>
          <w:szCs w:val="28"/>
        </w:rPr>
        <w:t>提供材料真实性承诺书</w:t>
      </w:r>
      <w:bookmarkEnd w:id="2147"/>
      <w:bookmarkEnd w:id="2148"/>
    </w:p>
    <w:p>
      <w:pPr>
        <w:tabs>
          <w:tab w:val="center" w:pos="4252"/>
        </w:tabs>
        <w:adjustRightInd w:val="0"/>
        <w:snapToGrid w:val="0"/>
        <w:spacing w:line="500" w:lineRule="exact"/>
        <w:ind w:firstLine="560" w:firstLineChars="200"/>
        <w:rPr>
          <w:rFonts w:hint="eastAsia" w:ascii="宋体" w:hAnsi="宋体"/>
          <w:kern w:val="3"/>
          <w:sz w:val="28"/>
          <w:szCs w:val="28"/>
        </w:rPr>
      </w:pPr>
      <w:bookmarkStart w:id="2149" w:name="_Toc8455_WPSOffice_Level1"/>
      <w:bookmarkStart w:id="2150" w:name="_Toc895_WPSOffice_Level1"/>
      <w:r>
        <w:rPr>
          <w:rFonts w:hint="eastAsia" w:ascii="宋体" w:hAnsi="宋体"/>
          <w:kern w:val="3"/>
          <w:sz w:val="28"/>
          <w:szCs w:val="28"/>
          <w:lang w:val="en-US" w:eastAsia="zh-CN"/>
        </w:rPr>
        <w:t>附件三、</w:t>
      </w:r>
      <w:r>
        <w:rPr>
          <w:rFonts w:hint="eastAsia" w:ascii="宋体" w:hAnsi="宋体"/>
          <w:kern w:val="3"/>
          <w:sz w:val="28"/>
          <w:szCs w:val="28"/>
        </w:rPr>
        <w:t>营业执照</w:t>
      </w:r>
      <w:bookmarkEnd w:id="2146"/>
      <w:bookmarkEnd w:id="2149"/>
      <w:bookmarkEnd w:id="2150"/>
    </w:p>
    <w:p>
      <w:pPr>
        <w:tabs>
          <w:tab w:val="center" w:pos="4252"/>
        </w:tabs>
        <w:adjustRightInd w:val="0"/>
        <w:snapToGrid w:val="0"/>
        <w:spacing w:line="500" w:lineRule="exact"/>
        <w:ind w:firstLine="560" w:firstLineChars="200"/>
        <w:rPr>
          <w:rFonts w:hint="eastAsia" w:ascii="宋体" w:hAnsi="宋体"/>
          <w:kern w:val="3"/>
          <w:sz w:val="28"/>
          <w:szCs w:val="28"/>
        </w:rPr>
      </w:pPr>
      <w:bookmarkStart w:id="2151" w:name="_Toc6654_WPSOffice_Level1"/>
      <w:bookmarkStart w:id="2152" w:name="_Toc3635_WPSOffice_Level1"/>
      <w:bookmarkStart w:id="2153" w:name="_Toc27350_WPSOffice_Level1"/>
      <w:r>
        <w:rPr>
          <w:rFonts w:hint="eastAsia" w:ascii="宋体" w:hAnsi="宋体"/>
          <w:kern w:val="3"/>
          <w:sz w:val="28"/>
          <w:szCs w:val="28"/>
          <w:lang w:val="en-US" w:eastAsia="zh-CN"/>
        </w:rPr>
        <w:t>附件四、</w:t>
      </w:r>
      <w:r>
        <w:rPr>
          <w:rFonts w:hint="eastAsia" w:ascii="宋体" w:hAnsi="宋体"/>
          <w:kern w:val="3"/>
          <w:sz w:val="28"/>
          <w:szCs w:val="28"/>
        </w:rPr>
        <w:t>危化品经营许可证</w:t>
      </w:r>
      <w:bookmarkEnd w:id="2151"/>
      <w:bookmarkEnd w:id="2152"/>
      <w:bookmarkEnd w:id="2153"/>
    </w:p>
    <w:p>
      <w:pPr>
        <w:tabs>
          <w:tab w:val="center" w:pos="4252"/>
        </w:tabs>
        <w:adjustRightInd w:val="0"/>
        <w:snapToGrid w:val="0"/>
        <w:spacing w:line="500" w:lineRule="exact"/>
        <w:ind w:firstLine="560" w:firstLineChars="200"/>
        <w:rPr>
          <w:rFonts w:hint="eastAsia" w:ascii="宋体" w:hAnsi="宋体"/>
          <w:kern w:val="3"/>
          <w:sz w:val="28"/>
          <w:szCs w:val="28"/>
        </w:rPr>
      </w:pPr>
      <w:bookmarkStart w:id="2154" w:name="_Toc617_WPSOffice_Level1"/>
      <w:bookmarkStart w:id="2155" w:name="_Toc1248_WPSOffice_Level1"/>
      <w:bookmarkStart w:id="2156" w:name="_Toc24259_WPSOffice_Level1"/>
      <w:r>
        <w:rPr>
          <w:rFonts w:hint="eastAsia" w:ascii="宋体" w:hAnsi="宋体"/>
          <w:kern w:val="3"/>
          <w:sz w:val="28"/>
          <w:szCs w:val="28"/>
          <w:lang w:val="en-US" w:eastAsia="zh-CN"/>
        </w:rPr>
        <w:t>附件五、</w:t>
      </w:r>
      <w:r>
        <w:rPr>
          <w:rFonts w:hint="eastAsia" w:ascii="宋体" w:hAnsi="宋体"/>
          <w:kern w:val="3"/>
          <w:sz w:val="28"/>
          <w:szCs w:val="28"/>
        </w:rPr>
        <w:t>土地</w:t>
      </w:r>
      <w:bookmarkEnd w:id="2154"/>
      <w:bookmarkEnd w:id="2155"/>
      <w:r>
        <w:rPr>
          <w:rFonts w:hint="eastAsia" w:ascii="宋体" w:hAnsi="宋体"/>
          <w:kern w:val="3"/>
          <w:sz w:val="28"/>
          <w:szCs w:val="28"/>
          <w:lang w:val="en-US" w:eastAsia="zh-CN"/>
        </w:rPr>
        <w:t>使用证明</w:t>
      </w:r>
    </w:p>
    <w:p>
      <w:pPr>
        <w:tabs>
          <w:tab w:val="center" w:pos="4252"/>
        </w:tabs>
        <w:adjustRightInd w:val="0"/>
        <w:snapToGrid w:val="0"/>
        <w:spacing w:line="500" w:lineRule="exact"/>
        <w:ind w:firstLine="560" w:firstLineChars="200"/>
        <w:rPr>
          <w:rFonts w:hint="eastAsia" w:ascii="宋体" w:hAnsi="宋体"/>
          <w:kern w:val="3"/>
          <w:sz w:val="28"/>
          <w:szCs w:val="28"/>
        </w:rPr>
      </w:pPr>
      <w:bookmarkStart w:id="2157" w:name="_Toc16598_WPSOffice_Level1"/>
      <w:bookmarkStart w:id="2158" w:name="_Toc11676_WPSOffice_Level1"/>
      <w:r>
        <w:rPr>
          <w:rFonts w:hint="eastAsia" w:ascii="宋体" w:hAnsi="宋体"/>
          <w:kern w:val="3"/>
          <w:sz w:val="28"/>
          <w:szCs w:val="28"/>
          <w:lang w:val="en-US" w:eastAsia="zh-CN"/>
        </w:rPr>
        <w:t>附件六、</w:t>
      </w:r>
      <w:r>
        <w:rPr>
          <w:rFonts w:hint="eastAsia" w:ascii="宋体" w:hAnsi="宋体"/>
          <w:kern w:val="3"/>
          <w:sz w:val="28"/>
          <w:szCs w:val="28"/>
        </w:rPr>
        <w:t>成立安全领导小组的通知、安全员任命文件</w:t>
      </w:r>
      <w:bookmarkEnd w:id="2156"/>
      <w:bookmarkEnd w:id="2157"/>
      <w:bookmarkEnd w:id="2158"/>
    </w:p>
    <w:p>
      <w:pPr>
        <w:tabs>
          <w:tab w:val="center" w:pos="4252"/>
        </w:tabs>
        <w:adjustRightInd w:val="0"/>
        <w:snapToGrid w:val="0"/>
        <w:spacing w:line="500" w:lineRule="exact"/>
        <w:ind w:firstLine="560" w:firstLineChars="200"/>
        <w:rPr>
          <w:rFonts w:hint="eastAsia" w:ascii="宋体" w:hAnsi="宋体"/>
          <w:kern w:val="3"/>
          <w:sz w:val="28"/>
          <w:szCs w:val="28"/>
        </w:rPr>
      </w:pPr>
      <w:bookmarkStart w:id="2159" w:name="_Toc1585_WPSOffice_Level1"/>
      <w:bookmarkStart w:id="2160" w:name="_Toc1082_WPSOffice_Level1"/>
      <w:bookmarkStart w:id="2161" w:name="_Toc6943_WPSOffice_Level1"/>
      <w:r>
        <w:rPr>
          <w:rFonts w:hint="eastAsia" w:ascii="宋体" w:hAnsi="宋体"/>
          <w:kern w:val="3"/>
          <w:sz w:val="28"/>
          <w:szCs w:val="28"/>
          <w:lang w:val="en-US" w:eastAsia="zh-CN"/>
        </w:rPr>
        <w:t>附件七、</w:t>
      </w:r>
      <w:r>
        <w:rPr>
          <w:rFonts w:hint="eastAsia" w:ascii="宋体" w:hAnsi="宋体"/>
          <w:kern w:val="3"/>
          <w:sz w:val="28"/>
          <w:szCs w:val="28"/>
        </w:rPr>
        <w:t>安全生产责任制、安全管理制度、操作规程封面、目录</w:t>
      </w:r>
      <w:bookmarkEnd w:id="2159"/>
      <w:bookmarkEnd w:id="2160"/>
      <w:bookmarkEnd w:id="2161"/>
    </w:p>
    <w:p>
      <w:pPr>
        <w:tabs>
          <w:tab w:val="center" w:pos="4252"/>
        </w:tabs>
        <w:adjustRightInd w:val="0"/>
        <w:snapToGrid w:val="0"/>
        <w:spacing w:line="500" w:lineRule="exact"/>
        <w:ind w:firstLine="560" w:firstLineChars="200"/>
        <w:rPr>
          <w:rFonts w:hint="eastAsia" w:ascii="宋体" w:hAnsi="宋体"/>
          <w:kern w:val="3"/>
          <w:sz w:val="28"/>
          <w:szCs w:val="28"/>
        </w:rPr>
      </w:pPr>
      <w:bookmarkStart w:id="2162" w:name="_Toc7704_WPSOffice_Level1"/>
      <w:bookmarkStart w:id="2163" w:name="_Toc15536_WPSOffice_Level1"/>
      <w:bookmarkStart w:id="2164" w:name="_Toc4641_WPSOffice_Level1"/>
      <w:r>
        <w:rPr>
          <w:rFonts w:hint="eastAsia" w:ascii="宋体" w:hAnsi="宋体"/>
          <w:kern w:val="3"/>
          <w:sz w:val="28"/>
          <w:szCs w:val="28"/>
          <w:lang w:val="en-US" w:eastAsia="zh-CN"/>
        </w:rPr>
        <w:t>附件八、</w:t>
      </w:r>
      <w:r>
        <w:rPr>
          <w:rFonts w:hint="eastAsia" w:ascii="宋体" w:hAnsi="宋体"/>
          <w:kern w:val="3"/>
          <w:sz w:val="28"/>
          <w:szCs w:val="28"/>
        </w:rPr>
        <w:t>主要负责人、安全员安全合格证</w:t>
      </w:r>
      <w:bookmarkEnd w:id="2162"/>
      <w:bookmarkEnd w:id="2163"/>
      <w:bookmarkEnd w:id="2164"/>
    </w:p>
    <w:p>
      <w:pPr>
        <w:tabs>
          <w:tab w:val="center" w:pos="4252"/>
        </w:tabs>
        <w:adjustRightInd w:val="0"/>
        <w:snapToGrid w:val="0"/>
        <w:spacing w:line="500" w:lineRule="exact"/>
        <w:ind w:firstLine="560" w:firstLineChars="200"/>
        <w:rPr>
          <w:rFonts w:hint="eastAsia" w:ascii="宋体" w:hAnsi="宋体"/>
          <w:kern w:val="3"/>
          <w:sz w:val="28"/>
          <w:szCs w:val="28"/>
        </w:rPr>
      </w:pPr>
      <w:bookmarkStart w:id="2165" w:name="_Toc26945_WPSOffice_Level1"/>
      <w:bookmarkStart w:id="2166" w:name="_Toc8418_WPSOffice_Level1"/>
      <w:bookmarkStart w:id="2167" w:name="_Toc14712_WPSOffice_Level1"/>
      <w:r>
        <w:rPr>
          <w:rFonts w:hint="eastAsia" w:ascii="宋体" w:hAnsi="宋体"/>
          <w:kern w:val="3"/>
          <w:sz w:val="28"/>
          <w:szCs w:val="28"/>
          <w:lang w:val="en-US" w:eastAsia="zh-CN"/>
        </w:rPr>
        <w:t>附件九、</w:t>
      </w:r>
      <w:r>
        <w:rPr>
          <w:rFonts w:hint="eastAsia" w:ascii="宋体" w:hAnsi="宋体"/>
          <w:kern w:val="3"/>
          <w:sz w:val="28"/>
          <w:szCs w:val="28"/>
        </w:rPr>
        <w:t>员工保险</w:t>
      </w:r>
      <w:bookmarkEnd w:id="2165"/>
      <w:bookmarkEnd w:id="2166"/>
      <w:r>
        <w:rPr>
          <w:rFonts w:hint="eastAsia" w:ascii="宋体" w:hAnsi="宋体"/>
          <w:kern w:val="3"/>
          <w:sz w:val="28"/>
          <w:szCs w:val="28"/>
          <w:lang w:eastAsia="zh-CN"/>
        </w:rPr>
        <w:t>（</w:t>
      </w:r>
      <w:r>
        <w:rPr>
          <w:rFonts w:hint="eastAsia" w:ascii="宋体" w:hAnsi="宋体"/>
          <w:kern w:val="3"/>
          <w:sz w:val="28"/>
          <w:szCs w:val="28"/>
          <w:lang w:val="en-US" w:eastAsia="zh-CN"/>
        </w:rPr>
        <w:t>安全生产责任险、工伤保险</w:t>
      </w:r>
      <w:r>
        <w:rPr>
          <w:rFonts w:hint="eastAsia" w:ascii="宋体" w:hAnsi="宋体"/>
          <w:kern w:val="3"/>
          <w:sz w:val="28"/>
          <w:szCs w:val="28"/>
          <w:lang w:eastAsia="zh-CN"/>
        </w:rPr>
        <w:t>）</w:t>
      </w:r>
      <w:bookmarkEnd w:id="2167"/>
    </w:p>
    <w:p>
      <w:pPr>
        <w:tabs>
          <w:tab w:val="center" w:pos="4252"/>
        </w:tabs>
        <w:adjustRightInd w:val="0"/>
        <w:snapToGrid w:val="0"/>
        <w:spacing w:line="500" w:lineRule="exact"/>
        <w:ind w:firstLine="560" w:firstLineChars="200"/>
        <w:rPr>
          <w:rFonts w:hint="eastAsia" w:ascii="宋体" w:hAnsi="宋体"/>
          <w:kern w:val="3"/>
          <w:sz w:val="28"/>
          <w:szCs w:val="28"/>
        </w:rPr>
      </w:pPr>
      <w:bookmarkStart w:id="2168" w:name="_Toc1408_WPSOffice_Level1"/>
      <w:bookmarkStart w:id="2169" w:name="_Toc12334_WPSOffice_Level1"/>
      <w:bookmarkStart w:id="2170" w:name="_Toc27313_WPSOffice_Level1"/>
      <w:r>
        <w:rPr>
          <w:rFonts w:hint="eastAsia" w:ascii="宋体" w:hAnsi="宋体"/>
          <w:kern w:val="3"/>
          <w:sz w:val="28"/>
          <w:szCs w:val="28"/>
          <w:lang w:val="en-US" w:eastAsia="zh-CN"/>
        </w:rPr>
        <w:t>附件十、</w:t>
      </w:r>
      <w:r>
        <w:rPr>
          <w:rFonts w:hint="eastAsia" w:ascii="宋体" w:hAnsi="宋体"/>
          <w:kern w:val="3"/>
          <w:sz w:val="28"/>
          <w:szCs w:val="28"/>
        </w:rPr>
        <w:t>加注机检测报告</w:t>
      </w:r>
      <w:bookmarkEnd w:id="2168"/>
      <w:bookmarkEnd w:id="2169"/>
      <w:bookmarkEnd w:id="2170"/>
    </w:p>
    <w:p>
      <w:pPr>
        <w:tabs>
          <w:tab w:val="center" w:pos="4252"/>
        </w:tabs>
        <w:adjustRightInd w:val="0"/>
        <w:snapToGrid w:val="0"/>
        <w:spacing w:line="500" w:lineRule="exact"/>
        <w:ind w:firstLine="560" w:firstLineChars="200"/>
        <w:rPr>
          <w:rFonts w:hint="eastAsia" w:ascii="宋体" w:hAnsi="宋体"/>
          <w:kern w:val="3"/>
          <w:sz w:val="28"/>
          <w:szCs w:val="28"/>
        </w:rPr>
      </w:pPr>
      <w:bookmarkStart w:id="2171" w:name="_Toc31663_WPSOffice_Level1"/>
      <w:bookmarkStart w:id="2172" w:name="_Toc8604_WPSOffice_Level1"/>
      <w:bookmarkStart w:id="2173" w:name="_Toc24253_WPSOffice_Level1"/>
      <w:r>
        <w:rPr>
          <w:rFonts w:hint="eastAsia" w:ascii="宋体" w:hAnsi="宋体"/>
          <w:kern w:val="3"/>
          <w:sz w:val="28"/>
          <w:szCs w:val="28"/>
          <w:lang w:val="en-US" w:eastAsia="zh-CN"/>
        </w:rPr>
        <w:t>附件十一、日常安全管理台账</w:t>
      </w:r>
      <w:bookmarkEnd w:id="2171"/>
    </w:p>
    <w:p>
      <w:pPr>
        <w:tabs>
          <w:tab w:val="center" w:pos="4252"/>
        </w:tabs>
        <w:adjustRightInd w:val="0"/>
        <w:snapToGrid w:val="0"/>
        <w:spacing w:line="500" w:lineRule="exact"/>
        <w:ind w:firstLine="560" w:firstLineChars="200"/>
        <w:rPr>
          <w:rFonts w:hint="eastAsia" w:ascii="宋体" w:hAnsi="宋体"/>
          <w:kern w:val="3"/>
          <w:sz w:val="28"/>
          <w:szCs w:val="28"/>
        </w:rPr>
      </w:pPr>
      <w:bookmarkStart w:id="2174" w:name="_Toc26874_WPSOffice_Level1"/>
      <w:r>
        <w:rPr>
          <w:rFonts w:hint="eastAsia" w:ascii="宋体" w:hAnsi="宋体"/>
          <w:kern w:val="3"/>
          <w:sz w:val="28"/>
          <w:szCs w:val="28"/>
          <w:lang w:val="en-US" w:eastAsia="zh-CN"/>
        </w:rPr>
        <w:t>附件十二、</w:t>
      </w:r>
      <w:r>
        <w:rPr>
          <w:rFonts w:hint="eastAsia" w:ascii="宋体" w:hAnsi="宋体"/>
          <w:kern w:val="3"/>
          <w:sz w:val="28"/>
          <w:szCs w:val="28"/>
        </w:rPr>
        <w:t>供货方资质复印件</w:t>
      </w:r>
      <w:bookmarkEnd w:id="2172"/>
      <w:bookmarkEnd w:id="2173"/>
      <w:bookmarkEnd w:id="2174"/>
    </w:p>
    <w:p>
      <w:pPr>
        <w:tabs>
          <w:tab w:val="center" w:pos="4252"/>
        </w:tabs>
        <w:adjustRightInd w:val="0"/>
        <w:snapToGrid w:val="0"/>
        <w:spacing w:line="500" w:lineRule="exact"/>
        <w:ind w:firstLine="560" w:firstLineChars="200"/>
        <w:rPr>
          <w:rFonts w:hint="eastAsia" w:ascii="宋体" w:hAnsi="宋体"/>
          <w:kern w:val="3"/>
          <w:sz w:val="28"/>
          <w:szCs w:val="28"/>
        </w:rPr>
      </w:pPr>
      <w:r>
        <w:rPr>
          <w:rFonts w:hint="eastAsia" w:ascii="宋体" w:hAnsi="宋体"/>
          <w:kern w:val="3"/>
          <w:sz w:val="28"/>
          <w:szCs w:val="28"/>
          <w:lang w:val="en-US" w:eastAsia="zh-CN"/>
        </w:rPr>
        <w:t>附件十三、雷电防护装置检测报告</w:t>
      </w:r>
    </w:p>
    <w:p>
      <w:pPr>
        <w:tabs>
          <w:tab w:val="center" w:pos="4252"/>
        </w:tabs>
        <w:adjustRightInd w:val="0"/>
        <w:snapToGrid w:val="0"/>
        <w:spacing w:line="500" w:lineRule="exact"/>
        <w:ind w:firstLine="560" w:firstLineChars="200"/>
        <w:rPr>
          <w:rFonts w:hint="eastAsia" w:ascii="宋体" w:hAnsi="宋体"/>
          <w:kern w:val="3"/>
          <w:sz w:val="28"/>
          <w:szCs w:val="28"/>
        </w:rPr>
      </w:pPr>
      <w:bookmarkStart w:id="2175" w:name="_Toc14216_WPSOffice_Level1"/>
      <w:bookmarkStart w:id="2176" w:name="_Toc18148_WPSOffice_Level1"/>
      <w:bookmarkStart w:id="2177" w:name="_Toc28397_WPSOffice_Level1"/>
      <w:r>
        <w:rPr>
          <w:rFonts w:hint="eastAsia" w:ascii="宋体" w:hAnsi="宋体"/>
          <w:kern w:val="3"/>
          <w:sz w:val="28"/>
          <w:szCs w:val="28"/>
          <w:lang w:val="en-US" w:eastAsia="zh-CN"/>
        </w:rPr>
        <w:t>附件十四、</w:t>
      </w:r>
      <w:r>
        <w:rPr>
          <w:rFonts w:hint="eastAsia" w:ascii="宋体" w:hAnsi="宋体"/>
          <w:kern w:val="3"/>
          <w:sz w:val="28"/>
          <w:szCs w:val="28"/>
        </w:rPr>
        <w:t>隐患整改情况说明</w:t>
      </w:r>
      <w:bookmarkEnd w:id="2175"/>
      <w:bookmarkEnd w:id="2176"/>
      <w:bookmarkEnd w:id="2177"/>
    </w:p>
    <w:p>
      <w:pPr>
        <w:tabs>
          <w:tab w:val="center" w:pos="4252"/>
        </w:tabs>
        <w:adjustRightInd w:val="0"/>
        <w:snapToGrid w:val="0"/>
        <w:spacing w:line="500" w:lineRule="exact"/>
        <w:ind w:firstLine="560" w:firstLineChars="200"/>
        <w:rPr>
          <w:rFonts w:hint="eastAsia" w:ascii="宋体" w:hAnsi="宋体"/>
          <w:kern w:val="3"/>
          <w:sz w:val="28"/>
          <w:szCs w:val="28"/>
        </w:rPr>
      </w:pPr>
      <w:bookmarkStart w:id="2178" w:name="_Toc26865_WPSOffice_Level1"/>
      <w:bookmarkStart w:id="2179" w:name="_Toc30248_WPSOffice_Level1"/>
      <w:bookmarkStart w:id="2180" w:name="_Toc4414_WPSOffice_Level1"/>
      <w:r>
        <w:rPr>
          <w:rFonts w:hint="eastAsia" w:ascii="宋体" w:hAnsi="宋体"/>
          <w:kern w:val="3"/>
          <w:sz w:val="28"/>
          <w:szCs w:val="28"/>
          <w:lang w:val="en-US" w:eastAsia="zh-CN"/>
        </w:rPr>
        <w:t>附件十五、</w:t>
      </w:r>
      <w:r>
        <w:rPr>
          <w:rFonts w:hint="eastAsia" w:ascii="宋体" w:hAnsi="宋体"/>
          <w:kern w:val="3"/>
          <w:sz w:val="28"/>
          <w:szCs w:val="28"/>
        </w:rPr>
        <w:t>应急预案备案登记</w:t>
      </w:r>
      <w:bookmarkEnd w:id="2178"/>
      <w:bookmarkEnd w:id="2179"/>
      <w:r>
        <w:rPr>
          <w:rFonts w:hint="eastAsia" w:ascii="宋体" w:hAnsi="宋体"/>
          <w:kern w:val="3"/>
          <w:sz w:val="28"/>
          <w:szCs w:val="28"/>
          <w:lang w:val="en-US" w:eastAsia="zh-CN"/>
        </w:rPr>
        <w:t>表</w:t>
      </w:r>
      <w:bookmarkEnd w:id="2180"/>
    </w:p>
    <w:p>
      <w:pPr>
        <w:tabs>
          <w:tab w:val="center" w:pos="4252"/>
        </w:tabs>
        <w:adjustRightInd w:val="0"/>
        <w:snapToGrid w:val="0"/>
        <w:spacing w:line="500" w:lineRule="exact"/>
        <w:ind w:firstLine="560" w:firstLineChars="200"/>
        <w:rPr>
          <w:rFonts w:hint="default" w:ascii="宋体" w:hAnsi="宋体"/>
          <w:kern w:val="3"/>
          <w:sz w:val="28"/>
          <w:szCs w:val="28"/>
          <w:lang w:val="en-US"/>
        </w:rPr>
      </w:pPr>
      <w:r>
        <w:rPr>
          <w:rFonts w:hint="eastAsia" w:ascii="宋体" w:hAnsi="宋体"/>
          <w:kern w:val="3"/>
          <w:sz w:val="28"/>
          <w:szCs w:val="28"/>
          <w:lang w:val="en-US" w:eastAsia="zh-CN"/>
        </w:rPr>
        <w:t>附件十六、储罐合格证</w:t>
      </w:r>
    </w:p>
    <w:p>
      <w:pPr>
        <w:tabs>
          <w:tab w:val="center" w:pos="4252"/>
        </w:tabs>
        <w:adjustRightInd w:val="0"/>
        <w:snapToGrid w:val="0"/>
        <w:spacing w:line="500" w:lineRule="exact"/>
        <w:ind w:firstLine="560" w:firstLineChars="200"/>
        <w:rPr>
          <w:rFonts w:hint="default" w:ascii="宋体" w:hAnsi="宋体"/>
          <w:kern w:val="3"/>
          <w:sz w:val="28"/>
          <w:szCs w:val="28"/>
          <w:lang w:val="en-US"/>
        </w:rPr>
      </w:pPr>
      <w:bookmarkStart w:id="2181" w:name="_Toc19547_WPSOffice_Level1"/>
      <w:r>
        <w:rPr>
          <w:rFonts w:hint="eastAsia" w:ascii="宋体" w:hAnsi="宋体"/>
          <w:kern w:val="3"/>
          <w:sz w:val="28"/>
          <w:szCs w:val="28"/>
          <w:lang w:val="en-US" w:eastAsia="zh-CN"/>
        </w:rPr>
        <w:t>附件十七、</w:t>
      </w:r>
      <w:r>
        <w:rPr>
          <w:rFonts w:hint="eastAsia" w:ascii="宋体" w:hAnsi="宋体"/>
          <w:kern w:val="3"/>
          <w:sz w:val="28"/>
          <w:szCs w:val="28"/>
        </w:rPr>
        <w:t>总平面示意图</w:t>
      </w:r>
      <w:bookmarkEnd w:id="2181"/>
    </w:p>
    <w:p>
      <w:pPr>
        <w:adjustRightInd w:val="0"/>
        <w:snapToGrid w:val="0"/>
        <w:spacing w:line="500" w:lineRule="exact"/>
        <w:rPr>
          <w:color w:val="000000" w:themeColor="text1"/>
        </w:rPr>
      </w:pPr>
    </w:p>
    <w:sectPr>
      <w:headerReference r:id="rId5" w:type="default"/>
      <w:footerReference r:id="rId6" w:type="default"/>
      <w:pgSz w:w="11906" w:h="16838"/>
      <w:pgMar w:top="1417" w:right="1134" w:bottom="1134" w:left="1587" w:header="851" w:footer="992" w:gutter="0"/>
      <w:pgNumType w:start="1"/>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roma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rFonts w:hint="default" w:eastAsia="宋体"/>
        <w:lang w:val="en-US" w:eastAsia="zh-CN"/>
      </w:rPr>
    </w:pPr>
    <w:r>
      <w:rPr>
        <w:rFonts w:hint="eastAsia"/>
        <w:lang w:val="en-US" w:eastAsia="zh-CN"/>
      </w:rPr>
      <w:t>昭通市鼎安科技有限公司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eastAsia="宋体"/>
        <w:lang w:val="en-US" w:eastAsia="zh-CN"/>
      </w:rPr>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DMr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UEs0UdnT5+uXy7cfl+2cCHwhqrV8gb2eRGbrXpkPy6Pdwxrm7&#10;yqn4xUQEcVB9vtIrukB4vDSfzec5Qhyx8Qf42dN163x4I4wi0Siow/4Srey09aFPHVNiNW02jZRp&#10;h1KTtqA3L1/l6cI1AnCpUSMO0TcbrdDtu2GyvSnPGMyZXhve8k2D4lvmwyNzEAMahsDDA45KGhQx&#10;g0VJbdynv/ljPnaEKCUtxFVQDfVTIt9q7C7qcDTcaOxHQx/VnYFasQ70k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GoMyvA4CAAAJBAAADgAAAAAAAAABACAAAAAf&#10;AQAAZHJzL2Uyb0RvYy54bWxQSwUGAAAAAAYABgBZAQAAnwUAAAAA&#10;">
          <v:path/>
          <v:fill on="f" focussize="0,0"/>
          <v:stroke on="f" weight="0.5pt" joinstyle="miter"/>
          <v:imagedata o:title=""/>
          <o:lock v:ext="edit"/>
          <v:textbox inset="0mm,0mm,0mm,0mm" style="mso-fit-shape-to-text:t;">
            <w:txbxContent>
              <w:p>
                <w:pPr>
                  <w:pStyle w:val="36"/>
                </w:pPr>
                <w:r>
                  <w:rPr>
                    <w:rFonts w:hint="eastAsia"/>
                  </w:rPr>
                  <w:fldChar w:fldCharType="begin"/>
                </w:r>
                <w:r>
                  <w:rPr>
                    <w:rFonts w:hint="eastAsia"/>
                  </w:rPr>
                  <w:instrText xml:space="preserve"> PAGE  \* MERGEFORMAT </w:instrText>
                </w:r>
                <w:r>
                  <w:rPr>
                    <w:rFonts w:hint="eastAsia"/>
                  </w:rPr>
                  <w:fldChar w:fldCharType="separate"/>
                </w:r>
                <w:r>
                  <w:t>93</w:t>
                </w:r>
                <w:r>
                  <w:rPr>
                    <w:rFonts w:hint="eastAsia"/>
                  </w:rPr>
                  <w:fldChar w:fldCharType="end"/>
                </w:r>
              </w:p>
            </w:txbxContent>
          </v:textbox>
        </v:shape>
      </w:pict>
    </w:r>
    <w:r>
      <w:rPr>
        <w:rFonts w:hint="eastAsia"/>
        <w:lang w:val="en-US" w:eastAsia="zh-CN"/>
      </w:rPr>
      <w:t>昭通市鼎安科技有限公司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rPr>
        <w:rFonts w:hint="default" w:eastAsia="宋体"/>
        <w:lang w:val="en-US" w:eastAsia="zh-CN"/>
      </w:rPr>
    </w:pPr>
    <w:r>
      <w:rPr>
        <w:rFonts w:hint="eastAsia"/>
        <w:lang w:val="en-US" w:eastAsia="zh-CN"/>
      </w:rPr>
      <w:t>昭通市耀晨甲醇醇油有限公司  安全现状评价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left="-1260" w:leftChars="-600" w:right="-1260" w:rightChars="-600" w:firstLine="420" w:firstLineChars="200"/>
      <w:rPr>
        <w:rFonts w:ascii="宋体" w:hAnsi="宋体" w:cs="宋体"/>
        <w:w w:val="90"/>
        <w:sz w:val="21"/>
        <w:szCs w:val="21"/>
      </w:rPr>
    </w:pPr>
    <w:r>
      <w:rPr>
        <w:rFonts w:hint="eastAsia"/>
        <w:snapToGrid w:val="0"/>
        <w:kern w:val="20"/>
        <w:sz w:val="21"/>
        <w:szCs w:val="21"/>
      </w:rPr>
      <w:t xml:space="preserve">昭通市耀晨甲醇醇油有限公司   安全现状评价报告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E1BC5"/>
    <w:multiLevelType w:val="singleLevel"/>
    <w:tmpl w:val="878E1BC5"/>
    <w:lvl w:ilvl="0" w:tentative="0">
      <w:start w:val="1"/>
      <w:numFmt w:val="decimal"/>
      <w:lvlText w:val="%1."/>
      <w:lvlJc w:val="left"/>
      <w:pPr>
        <w:ind w:left="425" w:hanging="425"/>
      </w:pPr>
      <w:rPr>
        <w:rFonts w:hint="default"/>
      </w:rPr>
    </w:lvl>
  </w:abstractNum>
  <w:abstractNum w:abstractNumId="1">
    <w:nsid w:val="9A957CCA"/>
    <w:multiLevelType w:val="singleLevel"/>
    <w:tmpl w:val="9A957CCA"/>
    <w:lvl w:ilvl="0" w:tentative="0">
      <w:start w:val="1"/>
      <w:numFmt w:val="decimal"/>
      <w:lvlText w:val="%1."/>
      <w:lvlJc w:val="left"/>
      <w:pPr>
        <w:ind w:left="425" w:hanging="425"/>
      </w:pPr>
      <w:rPr>
        <w:rFonts w:hint="default"/>
      </w:rPr>
    </w:lvl>
  </w:abstractNum>
  <w:abstractNum w:abstractNumId="2">
    <w:nsid w:val="AEF6F600"/>
    <w:multiLevelType w:val="singleLevel"/>
    <w:tmpl w:val="AEF6F600"/>
    <w:lvl w:ilvl="0" w:tentative="0">
      <w:start w:val="1"/>
      <w:numFmt w:val="decimal"/>
      <w:suff w:val="nothing"/>
      <w:lvlText w:val="%1．"/>
      <w:lvlJc w:val="left"/>
      <w:pPr>
        <w:ind w:left="0" w:firstLine="400"/>
      </w:pPr>
      <w:rPr>
        <w:rFonts w:hint="default"/>
      </w:rPr>
    </w:lvl>
  </w:abstractNum>
  <w:abstractNum w:abstractNumId="3">
    <w:nsid w:val="CBE9979D"/>
    <w:multiLevelType w:val="singleLevel"/>
    <w:tmpl w:val="CBE9979D"/>
    <w:lvl w:ilvl="0" w:tentative="0">
      <w:start w:val="1"/>
      <w:numFmt w:val="decimal"/>
      <w:suff w:val="nothing"/>
      <w:lvlText w:val="%1．"/>
      <w:lvlJc w:val="left"/>
      <w:pPr>
        <w:ind w:left="0" w:firstLine="400"/>
      </w:pPr>
      <w:rPr>
        <w:rFonts w:hint="default"/>
      </w:rPr>
    </w:lvl>
  </w:abstractNum>
  <w:abstractNum w:abstractNumId="4">
    <w:nsid w:val="CF435151"/>
    <w:multiLevelType w:val="singleLevel"/>
    <w:tmpl w:val="CF435151"/>
    <w:lvl w:ilvl="0" w:tentative="0">
      <w:start w:val="1"/>
      <w:numFmt w:val="decimal"/>
      <w:lvlText w:val="%1."/>
      <w:lvlJc w:val="left"/>
      <w:pPr>
        <w:ind w:left="425" w:hanging="425"/>
      </w:pPr>
      <w:rPr>
        <w:rFonts w:hint="default"/>
      </w:rPr>
    </w:lvl>
  </w:abstractNum>
  <w:abstractNum w:abstractNumId="5">
    <w:nsid w:val="00000008"/>
    <w:multiLevelType w:val="multilevel"/>
    <w:tmpl w:val="00000008"/>
    <w:lvl w:ilvl="0" w:tentative="0">
      <w:start w:val="1"/>
      <w:numFmt w:val="decimal"/>
      <w:lvlText w:val="%1."/>
      <w:lvlJc w:val="left"/>
      <w:pPr>
        <w:tabs>
          <w:tab w:val="left" w:pos="960"/>
        </w:tabs>
        <w:ind w:left="960" w:hanging="420"/>
      </w:pPr>
      <w:rPr>
        <w:rFonts w:hint="default" w:ascii="Times New Roman" w:hAnsi="Times New Roman"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00000012"/>
    <w:multiLevelType w:val="singleLevel"/>
    <w:tmpl w:val="00000012"/>
    <w:lvl w:ilvl="0" w:tentative="0">
      <w:start w:val="1"/>
      <w:numFmt w:val="decimal"/>
      <w:suff w:val="nothing"/>
      <w:lvlText w:val="%1."/>
      <w:lvlJc w:val="left"/>
    </w:lvl>
  </w:abstractNum>
  <w:abstractNum w:abstractNumId="7">
    <w:nsid w:val="0000001C"/>
    <w:multiLevelType w:val="multilevel"/>
    <w:tmpl w:val="0000001C"/>
    <w:lvl w:ilvl="0" w:tentative="0">
      <w:start w:val="1"/>
      <w:numFmt w:val="decimal"/>
      <w:lvlText w:val="%1."/>
      <w:lvlJc w:val="left"/>
      <w:pPr>
        <w:tabs>
          <w:tab w:val="left" w:pos="960"/>
        </w:tabs>
        <w:ind w:left="960" w:hanging="420"/>
      </w:pPr>
      <w:rPr>
        <w:rFonts w:cs="Times New Roman"/>
      </w:rPr>
    </w:lvl>
    <w:lvl w:ilvl="1" w:tentative="0">
      <w:start w:val="1"/>
      <w:numFmt w:val="lowerLetter"/>
      <w:lvlText w:val="%2)"/>
      <w:lvlJc w:val="left"/>
      <w:pPr>
        <w:tabs>
          <w:tab w:val="left" w:pos="1275"/>
        </w:tabs>
        <w:ind w:left="1275" w:hanging="420"/>
      </w:pPr>
      <w:rPr>
        <w:rFonts w:cs="Times New Roman"/>
      </w:rPr>
    </w:lvl>
    <w:lvl w:ilvl="2" w:tentative="0">
      <w:start w:val="1"/>
      <w:numFmt w:val="lowerRoman"/>
      <w:lvlText w:val="%3."/>
      <w:lvlJc w:val="right"/>
      <w:pPr>
        <w:tabs>
          <w:tab w:val="left" w:pos="1695"/>
        </w:tabs>
        <w:ind w:left="1695" w:hanging="420"/>
      </w:pPr>
      <w:rPr>
        <w:rFonts w:cs="Times New Roman"/>
      </w:rPr>
    </w:lvl>
    <w:lvl w:ilvl="3" w:tentative="0">
      <w:start w:val="1"/>
      <w:numFmt w:val="decimal"/>
      <w:lvlText w:val="%4."/>
      <w:lvlJc w:val="left"/>
      <w:pPr>
        <w:tabs>
          <w:tab w:val="left" w:pos="2115"/>
        </w:tabs>
        <w:ind w:left="2115" w:hanging="420"/>
      </w:pPr>
      <w:rPr>
        <w:rFonts w:cs="Times New Roman"/>
      </w:rPr>
    </w:lvl>
    <w:lvl w:ilvl="4" w:tentative="0">
      <w:start w:val="1"/>
      <w:numFmt w:val="lowerLetter"/>
      <w:lvlText w:val="%5)"/>
      <w:lvlJc w:val="left"/>
      <w:pPr>
        <w:tabs>
          <w:tab w:val="left" w:pos="2535"/>
        </w:tabs>
        <w:ind w:left="2535" w:hanging="420"/>
      </w:pPr>
      <w:rPr>
        <w:rFonts w:cs="Times New Roman"/>
      </w:rPr>
    </w:lvl>
    <w:lvl w:ilvl="5" w:tentative="0">
      <w:start w:val="1"/>
      <w:numFmt w:val="lowerRoman"/>
      <w:lvlText w:val="%6."/>
      <w:lvlJc w:val="right"/>
      <w:pPr>
        <w:tabs>
          <w:tab w:val="left" w:pos="2955"/>
        </w:tabs>
        <w:ind w:left="2955" w:hanging="420"/>
      </w:pPr>
      <w:rPr>
        <w:rFonts w:cs="Times New Roman"/>
      </w:rPr>
    </w:lvl>
    <w:lvl w:ilvl="6" w:tentative="0">
      <w:start w:val="1"/>
      <w:numFmt w:val="decimal"/>
      <w:lvlText w:val="%7."/>
      <w:lvlJc w:val="left"/>
      <w:pPr>
        <w:tabs>
          <w:tab w:val="left" w:pos="3375"/>
        </w:tabs>
        <w:ind w:left="3375" w:hanging="420"/>
      </w:pPr>
      <w:rPr>
        <w:rFonts w:cs="Times New Roman"/>
      </w:rPr>
    </w:lvl>
    <w:lvl w:ilvl="7" w:tentative="0">
      <w:start w:val="1"/>
      <w:numFmt w:val="lowerLetter"/>
      <w:lvlText w:val="%8)"/>
      <w:lvlJc w:val="left"/>
      <w:pPr>
        <w:tabs>
          <w:tab w:val="left" w:pos="3795"/>
        </w:tabs>
        <w:ind w:left="3795" w:hanging="420"/>
      </w:pPr>
      <w:rPr>
        <w:rFonts w:cs="Times New Roman"/>
      </w:rPr>
    </w:lvl>
    <w:lvl w:ilvl="8" w:tentative="0">
      <w:start w:val="1"/>
      <w:numFmt w:val="lowerRoman"/>
      <w:lvlText w:val="%9."/>
      <w:lvlJc w:val="right"/>
      <w:pPr>
        <w:tabs>
          <w:tab w:val="left" w:pos="4215"/>
        </w:tabs>
        <w:ind w:left="4215" w:hanging="420"/>
      </w:pPr>
      <w:rPr>
        <w:rFonts w:cs="Times New Roman"/>
      </w:rPr>
    </w:lvl>
  </w:abstractNum>
  <w:abstractNum w:abstractNumId="8">
    <w:nsid w:val="0C927334"/>
    <w:multiLevelType w:val="multilevel"/>
    <w:tmpl w:val="0C927334"/>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735"/>
        </w:tabs>
        <w:ind w:left="735" w:hanging="420"/>
      </w:pPr>
    </w:lvl>
    <w:lvl w:ilvl="2" w:tentative="0">
      <w:start w:val="1"/>
      <w:numFmt w:val="lowerRoman"/>
      <w:lvlText w:val="%3."/>
      <w:lvlJc w:val="right"/>
      <w:pPr>
        <w:tabs>
          <w:tab w:val="left" w:pos="1155"/>
        </w:tabs>
        <w:ind w:left="1155" w:hanging="420"/>
      </w:pPr>
    </w:lvl>
    <w:lvl w:ilvl="3" w:tentative="0">
      <w:start w:val="1"/>
      <w:numFmt w:val="decimal"/>
      <w:lvlText w:val="%4."/>
      <w:lvlJc w:val="left"/>
      <w:pPr>
        <w:tabs>
          <w:tab w:val="left" w:pos="1575"/>
        </w:tabs>
        <w:ind w:left="1575" w:hanging="420"/>
      </w:pPr>
    </w:lvl>
    <w:lvl w:ilvl="4" w:tentative="0">
      <w:start w:val="1"/>
      <w:numFmt w:val="lowerLetter"/>
      <w:lvlText w:val="%5)"/>
      <w:lvlJc w:val="left"/>
      <w:pPr>
        <w:tabs>
          <w:tab w:val="left" w:pos="1995"/>
        </w:tabs>
        <w:ind w:left="1995" w:hanging="420"/>
      </w:pPr>
    </w:lvl>
    <w:lvl w:ilvl="5" w:tentative="0">
      <w:start w:val="1"/>
      <w:numFmt w:val="lowerRoman"/>
      <w:lvlText w:val="%6."/>
      <w:lvlJc w:val="right"/>
      <w:pPr>
        <w:tabs>
          <w:tab w:val="left" w:pos="2415"/>
        </w:tabs>
        <w:ind w:left="2415" w:hanging="420"/>
      </w:pPr>
    </w:lvl>
    <w:lvl w:ilvl="6" w:tentative="0">
      <w:start w:val="1"/>
      <w:numFmt w:val="decimal"/>
      <w:lvlText w:val="%7."/>
      <w:lvlJc w:val="left"/>
      <w:pPr>
        <w:tabs>
          <w:tab w:val="left" w:pos="2835"/>
        </w:tabs>
        <w:ind w:left="2835" w:hanging="420"/>
      </w:pPr>
    </w:lvl>
    <w:lvl w:ilvl="7" w:tentative="0">
      <w:start w:val="1"/>
      <w:numFmt w:val="lowerLetter"/>
      <w:lvlText w:val="%8)"/>
      <w:lvlJc w:val="left"/>
      <w:pPr>
        <w:tabs>
          <w:tab w:val="left" w:pos="3255"/>
        </w:tabs>
        <w:ind w:left="3255" w:hanging="420"/>
      </w:pPr>
    </w:lvl>
    <w:lvl w:ilvl="8" w:tentative="0">
      <w:start w:val="1"/>
      <w:numFmt w:val="lowerRoman"/>
      <w:lvlText w:val="%9."/>
      <w:lvlJc w:val="right"/>
      <w:pPr>
        <w:tabs>
          <w:tab w:val="left" w:pos="3675"/>
        </w:tabs>
        <w:ind w:left="3675" w:hanging="420"/>
      </w:pPr>
    </w:lvl>
  </w:abstractNum>
  <w:abstractNum w:abstractNumId="9">
    <w:nsid w:val="0DEE1F8B"/>
    <w:multiLevelType w:val="multilevel"/>
    <w:tmpl w:val="0DEE1F8B"/>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5"/>
      <w:suff w:val="nothing"/>
      <w:lvlText w:val="%1第%2章　"/>
      <w:lvlJc w:val="left"/>
      <w:pPr>
        <w:ind w:left="3100" w:firstLine="680"/>
      </w:pPr>
      <w:rPr>
        <w:rFonts w:hint="eastAsia" w:ascii="黑体" w:hAnsi="Times New Roman" w:eastAsia="黑体"/>
        <w:b w:val="0"/>
        <w:i w:val="0"/>
        <w:sz w:val="32"/>
        <w:szCs w:val="28"/>
      </w:rPr>
    </w:lvl>
    <w:lvl w:ilvl="2" w:tentative="0">
      <w:start w:val="1"/>
      <w:numFmt w:val="decimal"/>
      <w:pStyle w:val="14"/>
      <w:suff w:val="nothing"/>
      <w:lvlText w:val="%1%2.%3　"/>
      <w:lvlJc w:val="left"/>
      <w:pPr>
        <w:ind w:left="0" w:firstLine="0"/>
      </w:pPr>
      <w:rPr>
        <w:rFonts w:hint="eastAsia" w:ascii="黑体" w:hAnsi="Times New Roman" w:eastAsia="黑体"/>
        <w:b w:val="0"/>
        <w:i w:val="0"/>
        <w:sz w:val="28"/>
        <w:szCs w:val="30"/>
      </w:rPr>
    </w:lvl>
    <w:lvl w:ilvl="3" w:tentative="0">
      <w:start w:val="1"/>
      <w:numFmt w:val="decimal"/>
      <w:pStyle w:val="13"/>
      <w:suff w:val="nothing"/>
      <w:lvlText w:val="%1%2.%3.%4　"/>
      <w:lvlJc w:val="left"/>
      <w:pPr>
        <w:ind w:left="0" w:firstLine="0"/>
      </w:pPr>
      <w:rPr>
        <w:rFonts w:hint="eastAsia" w:ascii="黑体" w:hAnsi="Times New Roman" w:eastAsia="黑体"/>
        <w:b w:val="0"/>
        <w:i w:val="0"/>
        <w:sz w:val="28"/>
        <w:szCs w:val="30"/>
      </w:rPr>
    </w:lvl>
    <w:lvl w:ilvl="4" w:tentative="0">
      <w:start w:val="1"/>
      <w:numFmt w:val="decimal"/>
      <w:pStyle w:val="12"/>
      <w:suff w:val="nothing"/>
      <w:lvlText w:val="%1%2.%3.%4.%5　"/>
      <w:lvlJc w:val="left"/>
      <w:pPr>
        <w:ind w:left="0" w:firstLine="0"/>
      </w:pPr>
      <w:rPr>
        <w:rFonts w:hint="eastAsia" w:ascii="黑体" w:hAnsi="Times New Roman" w:eastAsia="黑体"/>
        <w:b w:val="0"/>
        <w:i w:val="0"/>
        <w:sz w:val="30"/>
        <w:szCs w:val="30"/>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16D4A11C"/>
    <w:multiLevelType w:val="singleLevel"/>
    <w:tmpl w:val="16D4A11C"/>
    <w:lvl w:ilvl="0" w:tentative="0">
      <w:start w:val="1"/>
      <w:numFmt w:val="decimal"/>
      <w:lvlText w:val="%1."/>
      <w:lvlJc w:val="left"/>
      <w:pPr>
        <w:ind w:left="425" w:hanging="425"/>
      </w:pPr>
      <w:rPr>
        <w:rFonts w:hint="default"/>
      </w:rPr>
    </w:lvl>
  </w:abstractNum>
  <w:abstractNum w:abstractNumId="11">
    <w:nsid w:val="18714BD1"/>
    <w:multiLevelType w:val="singleLevel"/>
    <w:tmpl w:val="18714BD1"/>
    <w:lvl w:ilvl="0" w:tentative="0">
      <w:start w:val="1"/>
      <w:numFmt w:val="decimal"/>
      <w:suff w:val="nothing"/>
      <w:lvlText w:val="%1."/>
      <w:lvlJc w:val="left"/>
    </w:lvl>
  </w:abstractNum>
  <w:abstractNum w:abstractNumId="12">
    <w:nsid w:val="1E901721"/>
    <w:multiLevelType w:val="singleLevel"/>
    <w:tmpl w:val="1E901721"/>
    <w:lvl w:ilvl="0" w:tentative="0">
      <w:start w:val="1"/>
      <w:numFmt w:val="decimal"/>
      <w:suff w:val="nothing"/>
      <w:lvlText w:val="%1．"/>
      <w:lvlJc w:val="left"/>
      <w:pPr>
        <w:ind w:left="0" w:firstLine="400"/>
      </w:pPr>
      <w:rPr>
        <w:rFonts w:hint="default"/>
      </w:rPr>
    </w:lvl>
  </w:abstractNum>
  <w:abstractNum w:abstractNumId="13">
    <w:nsid w:val="22695685"/>
    <w:multiLevelType w:val="multilevel"/>
    <w:tmpl w:val="2269568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3FA5709B"/>
    <w:multiLevelType w:val="singleLevel"/>
    <w:tmpl w:val="3FA5709B"/>
    <w:lvl w:ilvl="0" w:tentative="0">
      <w:start w:val="1"/>
      <w:numFmt w:val="decimal"/>
      <w:lvlText w:val="%1."/>
      <w:lvlJc w:val="left"/>
      <w:pPr>
        <w:ind w:left="425" w:hanging="425"/>
      </w:pPr>
      <w:rPr>
        <w:rFonts w:hint="default"/>
      </w:rPr>
    </w:lvl>
  </w:abstractNum>
  <w:abstractNum w:abstractNumId="15">
    <w:nsid w:val="508012A9"/>
    <w:multiLevelType w:val="multilevel"/>
    <w:tmpl w:val="508012A9"/>
    <w:lvl w:ilvl="0" w:tentative="0">
      <w:start w:val="1"/>
      <w:numFmt w:val="decimal"/>
      <w:lvlText w:val="%1"/>
      <w:lvlJc w:val="left"/>
      <w:pPr>
        <w:tabs>
          <w:tab w:val="left" w:pos="533"/>
        </w:tabs>
        <w:ind w:left="533"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40918A8"/>
    <w:multiLevelType w:val="singleLevel"/>
    <w:tmpl w:val="540918A8"/>
    <w:lvl w:ilvl="0" w:tentative="0">
      <w:start w:val="1"/>
      <w:numFmt w:val="decimal"/>
      <w:lvlText w:val="%1."/>
      <w:lvlJc w:val="left"/>
      <w:pPr>
        <w:tabs>
          <w:tab w:val="left" w:pos="425"/>
        </w:tabs>
        <w:ind w:left="425" w:hanging="425"/>
      </w:pPr>
      <w:rPr>
        <w:rFonts w:hint="default"/>
      </w:rPr>
    </w:lvl>
  </w:abstractNum>
  <w:abstractNum w:abstractNumId="17">
    <w:nsid w:val="54F51C2D"/>
    <w:multiLevelType w:val="singleLevel"/>
    <w:tmpl w:val="54F51C2D"/>
    <w:lvl w:ilvl="0" w:tentative="0">
      <w:start w:val="1"/>
      <w:numFmt w:val="decimal"/>
      <w:suff w:val="nothing"/>
      <w:lvlText w:val="%1."/>
      <w:lvlJc w:val="left"/>
    </w:lvl>
  </w:abstractNum>
  <w:abstractNum w:abstractNumId="18">
    <w:nsid w:val="54F6A3DC"/>
    <w:multiLevelType w:val="singleLevel"/>
    <w:tmpl w:val="54F6A3DC"/>
    <w:lvl w:ilvl="0" w:tentative="0">
      <w:start w:val="1"/>
      <w:numFmt w:val="decimal"/>
      <w:suff w:val="nothing"/>
      <w:lvlText w:val="%1．"/>
      <w:lvlJc w:val="left"/>
      <w:pPr>
        <w:ind w:left="25" w:firstLine="400"/>
      </w:pPr>
      <w:rPr>
        <w:rFonts w:hint="default"/>
      </w:rPr>
    </w:lvl>
  </w:abstractNum>
  <w:abstractNum w:abstractNumId="19">
    <w:nsid w:val="5507FB54"/>
    <w:multiLevelType w:val="singleLevel"/>
    <w:tmpl w:val="5507FB54"/>
    <w:lvl w:ilvl="0" w:tentative="0">
      <w:start w:val="1"/>
      <w:numFmt w:val="decimal"/>
      <w:suff w:val="nothing"/>
      <w:lvlText w:val="%1."/>
      <w:lvlJc w:val="left"/>
    </w:lvl>
  </w:abstractNum>
  <w:abstractNum w:abstractNumId="20">
    <w:nsid w:val="55082892"/>
    <w:multiLevelType w:val="singleLevel"/>
    <w:tmpl w:val="55082892"/>
    <w:lvl w:ilvl="0" w:tentative="0">
      <w:start w:val="1"/>
      <w:numFmt w:val="decimal"/>
      <w:suff w:val="nothing"/>
      <w:lvlText w:val="%1."/>
      <w:lvlJc w:val="left"/>
    </w:lvl>
  </w:abstractNum>
  <w:abstractNum w:abstractNumId="21">
    <w:nsid w:val="55082B4B"/>
    <w:multiLevelType w:val="singleLevel"/>
    <w:tmpl w:val="55082B4B"/>
    <w:lvl w:ilvl="0" w:tentative="0">
      <w:start w:val="1"/>
      <w:numFmt w:val="decimal"/>
      <w:suff w:val="nothing"/>
      <w:lvlText w:val="%1."/>
      <w:lvlJc w:val="left"/>
    </w:lvl>
  </w:abstractNum>
  <w:abstractNum w:abstractNumId="22">
    <w:nsid w:val="55082E50"/>
    <w:multiLevelType w:val="singleLevel"/>
    <w:tmpl w:val="55082E50"/>
    <w:lvl w:ilvl="0" w:tentative="0">
      <w:start w:val="1"/>
      <w:numFmt w:val="decimal"/>
      <w:suff w:val="nothing"/>
      <w:lvlText w:val="%1."/>
      <w:lvlJc w:val="left"/>
    </w:lvl>
  </w:abstractNum>
  <w:abstractNum w:abstractNumId="23">
    <w:nsid w:val="55083211"/>
    <w:multiLevelType w:val="singleLevel"/>
    <w:tmpl w:val="55083211"/>
    <w:lvl w:ilvl="0" w:tentative="0">
      <w:start w:val="1"/>
      <w:numFmt w:val="decimal"/>
      <w:suff w:val="nothing"/>
      <w:lvlText w:val="%1."/>
      <w:lvlJc w:val="left"/>
    </w:lvl>
  </w:abstractNum>
  <w:abstractNum w:abstractNumId="24">
    <w:nsid w:val="56C2272C"/>
    <w:multiLevelType w:val="singleLevel"/>
    <w:tmpl w:val="56C2272C"/>
    <w:lvl w:ilvl="0" w:tentative="0">
      <w:start w:val="1"/>
      <w:numFmt w:val="decimal"/>
      <w:suff w:val="nothing"/>
      <w:lvlText w:val="%1．"/>
      <w:lvlJc w:val="left"/>
      <w:pPr>
        <w:ind w:left="0" w:firstLine="400"/>
      </w:pPr>
      <w:rPr>
        <w:rFonts w:hint="default"/>
      </w:rPr>
    </w:lvl>
  </w:abstractNum>
  <w:abstractNum w:abstractNumId="25">
    <w:nsid w:val="57D31140"/>
    <w:multiLevelType w:val="multilevel"/>
    <w:tmpl w:val="57D31140"/>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735"/>
        </w:tabs>
        <w:ind w:left="735" w:hanging="420"/>
      </w:pPr>
    </w:lvl>
    <w:lvl w:ilvl="2" w:tentative="0">
      <w:start w:val="1"/>
      <w:numFmt w:val="lowerRoman"/>
      <w:lvlText w:val="%3."/>
      <w:lvlJc w:val="right"/>
      <w:pPr>
        <w:tabs>
          <w:tab w:val="left" w:pos="1155"/>
        </w:tabs>
        <w:ind w:left="1155" w:hanging="420"/>
      </w:pPr>
    </w:lvl>
    <w:lvl w:ilvl="3" w:tentative="0">
      <w:start w:val="1"/>
      <w:numFmt w:val="decimal"/>
      <w:lvlText w:val="%4."/>
      <w:lvlJc w:val="left"/>
      <w:pPr>
        <w:tabs>
          <w:tab w:val="left" w:pos="1575"/>
        </w:tabs>
        <w:ind w:left="1575" w:hanging="420"/>
      </w:pPr>
    </w:lvl>
    <w:lvl w:ilvl="4" w:tentative="0">
      <w:start w:val="1"/>
      <w:numFmt w:val="lowerLetter"/>
      <w:lvlText w:val="%5)"/>
      <w:lvlJc w:val="left"/>
      <w:pPr>
        <w:tabs>
          <w:tab w:val="left" w:pos="1995"/>
        </w:tabs>
        <w:ind w:left="1995" w:hanging="420"/>
      </w:pPr>
    </w:lvl>
    <w:lvl w:ilvl="5" w:tentative="0">
      <w:start w:val="1"/>
      <w:numFmt w:val="lowerRoman"/>
      <w:lvlText w:val="%6."/>
      <w:lvlJc w:val="right"/>
      <w:pPr>
        <w:tabs>
          <w:tab w:val="left" w:pos="2415"/>
        </w:tabs>
        <w:ind w:left="2415" w:hanging="420"/>
      </w:pPr>
    </w:lvl>
    <w:lvl w:ilvl="6" w:tentative="0">
      <w:start w:val="1"/>
      <w:numFmt w:val="decimal"/>
      <w:lvlText w:val="%7."/>
      <w:lvlJc w:val="left"/>
      <w:pPr>
        <w:tabs>
          <w:tab w:val="left" w:pos="2835"/>
        </w:tabs>
        <w:ind w:left="2835" w:hanging="420"/>
      </w:pPr>
    </w:lvl>
    <w:lvl w:ilvl="7" w:tentative="0">
      <w:start w:val="1"/>
      <w:numFmt w:val="lowerLetter"/>
      <w:lvlText w:val="%8)"/>
      <w:lvlJc w:val="left"/>
      <w:pPr>
        <w:tabs>
          <w:tab w:val="left" w:pos="3255"/>
        </w:tabs>
        <w:ind w:left="3255" w:hanging="420"/>
      </w:pPr>
    </w:lvl>
    <w:lvl w:ilvl="8" w:tentative="0">
      <w:start w:val="1"/>
      <w:numFmt w:val="lowerRoman"/>
      <w:lvlText w:val="%9."/>
      <w:lvlJc w:val="right"/>
      <w:pPr>
        <w:tabs>
          <w:tab w:val="left" w:pos="3675"/>
        </w:tabs>
        <w:ind w:left="3675" w:hanging="420"/>
      </w:pPr>
    </w:lvl>
  </w:abstractNum>
  <w:abstractNum w:abstractNumId="26">
    <w:nsid w:val="67D51E90"/>
    <w:multiLevelType w:val="multilevel"/>
    <w:tmpl w:val="67D51E9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76CB2B29"/>
    <w:multiLevelType w:val="multilevel"/>
    <w:tmpl w:val="76CB2B29"/>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735"/>
        </w:tabs>
        <w:ind w:left="735" w:hanging="420"/>
      </w:pPr>
    </w:lvl>
    <w:lvl w:ilvl="2" w:tentative="0">
      <w:start w:val="1"/>
      <w:numFmt w:val="lowerRoman"/>
      <w:lvlText w:val="%3."/>
      <w:lvlJc w:val="right"/>
      <w:pPr>
        <w:tabs>
          <w:tab w:val="left" w:pos="1155"/>
        </w:tabs>
        <w:ind w:left="1155" w:hanging="420"/>
      </w:pPr>
    </w:lvl>
    <w:lvl w:ilvl="3" w:tentative="0">
      <w:start w:val="1"/>
      <w:numFmt w:val="decimal"/>
      <w:lvlText w:val="%4."/>
      <w:lvlJc w:val="left"/>
      <w:pPr>
        <w:tabs>
          <w:tab w:val="left" w:pos="1575"/>
        </w:tabs>
        <w:ind w:left="1575" w:hanging="420"/>
      </w:pPr>
    </w:lvl>
    <w:lvl w:ilvl="4" w:tentative="0">
      <w:start w:val="1"/>
      <w:numFmt w:val="lowerLetter"/>
      <w:lvlText w:val="%5)"/>
      <w:lvlJc w:val="left"/>
      <w:pPr>
        <w:tabs>
          <w:tab w:val="left" w:pos="1995"/>
        </w:tabs>
        <w:ind w:left="1995" w:hanging="420"/>
      </w:pPr>
    </w:lvl>
    <w:lvl w:ilvl="5" w:tentative="0">
      <w:start w:val="1"/>
      <w:numFmt w:val="lowerRoman"/>
      <w:lvlText w:val="%6."/>
      <w:lvlJc w:val="right"/>
      <w:pPr>
        <w:tabs>
          <w:tab w:val="left" w:pos="2415"/>
        </w:tabs>
        <w:ind w:left="2415" w:hanging="420"/>
      </w:pPr>
    </w:lvl>
    <w:lvl w:ilvl="6" w:tentative="0">
      <w:start w:val="1"/>
      <w:numFmt w:val="decimal"/>
      <w:lvlText w:val="%7."/>
      <w:lvlJc w:val="left"/>
      <w:pPr>
        <w:tabs>
          <w:tab w:val="left" w:pos="2835"/>
        </w:tabs>
        <w:ind w:left="2835" w:hanging="420"/>
      </w:pPr>
    </w:lvl>
    <w:lvl w:ilvl="7" w:tentative="0">
      <w:start w:val="1"/>
      <w:numFmt w:val="lowerLetter"/>
      <w:lvlText w:val="%8)"/>
      <w:lvlJc w:val="left"/>
      <w:pPr>
        <w:tabs>
          <w:tab w:val="left" w:pos="3255"/>
        </w:tabs>
        <w:ind w:left="3255" w:hanging="420"/>
      </w:pPr>
    </w:lvl>
    <w:lvl w:ilvl="8" w:tentative="0">
      <w:start w:val="1"/>
      <w:numFmt w:val="lowerRoman"/>
      <w:lvlText w:val="%9."/>
      <w:lvlJc w:val="right"/>
      <w:pPr>
        <w:tabs>
          <w:tab w:val="left" w:pos="3675"/>
        </w:tabs>
        <w:ind w:left="3675" w:hanging="420"/>
      </w:pPr>
    </w:lvl>
  </w:abstractNum>
  <w:num w:numId="1">
    <w:abstractNumId w:val="9"/>
  </w:num>
  <w:num w:numId="2">
    <w:abstractNumId w:val="18"/>
  </w:num>
  <w:num w:numId="3">
    <w:abstractNumId w:val="5"/>
  </w:num>
  <w:num w:numId="4">
    <w:abstractNumId w:val="6"/>
  </w:num>
  <w:num w:numId="5">
    <w:abstractNumId w:val="2"/>
  </w:num>
  <w:num w:numId="6">
    <w:abstractNumId w:val="11"/>
  </w:num>
  <w:num w:numId="7">
    <w:abstractNumId w:val="7"/>
  </w:num>
  <w:num w:numId="8">
    <w:abstractNumId w:val="19"/>
  </w:num>
  <w:num w:numId="9">
    <w:abstractNumId w:val="22"/>
  </w:num>
  <w:num w:numId="10">
    <w:abstractNumId w:val="23"/>
  </w:num>
  <w:num w:numId="11">
    <w:abstractNumId w:val="20"/>
  </w:num>
  <w:num w:numId="12">
    <w:abstractNumId w:val="21"/>
  </w:num>
  <w:num w:numId="13">
    <w:abstractNumId w:val="17"/>
  </w:num>
  <w:num w:numId="14">
    <w:abstractNumId w:val="16"/>
  </w:num>
  <w:num w:numId="15">
    <w:abstractNumId w:val="4"/>
  </w:num>
  <w:num w:numId="16">
    <w:abstractNumId w:val="14"/>
  </w:num>
  <w:num w:numId="17">
    <w:abstractNumId w:val="25"/>
  </w:num>
  <w:num w:numId="18">
    <w:abstractNumId w:val="27"/>
  </w:num>
  <w:num w:numId="19">
    <w:abstractNumId w:val="13"/>
  </w:num>
  <w:num w:numId="20">
    <w:abstractNumId w:val="26"/>
  </w:num>
  <w:num w:numId="21">
    <w:abstractNumId w:val="8"/>
  </w:num>
  <w:num w:numId="22">
    <w:abstractNumId w:val="15"/>
  </w:num>
  <w:num w:numId="23">
    <w:abstractNumId w:val="1"/>
  </w:num>
  <w:num w:numId="24">
    <w:abstractNumId w:val="10"/>
  </w:num>
  <w:num w:numId="25">
    <w:abstractNumId w:val="0"/>
  </w:num>
  <w:num w:numId="26">
    <w:abstractNumId w:val="12"/>
  </w:num>
  <w:num w:numId="27">
    <w:abstractNumId w:val="3"/>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mirrorMargins w:val="1"/>
  <w:bordersDoNotSurroundHeader w:val="0"/>
  <w:bordersDoNotSurroundFooter w:val="0"/>
  <w:hideSpellingErrors/>
  <w:documentProtection w:enforcement="0"/>
  <w:defaultTabStop w:val="420"/>
  <w:drawingGridHorizontalSpacing w:val="0"/>
  <w:drawingGridVerticalSpacing w:val="158"/>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A5DAF"/>
    <w:rsid w:val="00004CE6"/>
    <w:rsid w:val="0000660D"/>
    <w:rsid w:val="000068BC"/>
    <w:rsid w:val="00011B88"/>
    <w:rsid w:val="000138B9"/>
    <w:rsid w:val="00017ADD"/>
    <w:rsid w:val="000240AE"/>
    <w:rsid w:val="00024724"/>
    <w:rsid w:val="00025630"/>
    <w:rsid w:val="00034977"/>
    <w:rsid w:val="00036F8B"/>
    <w:rsid w:val="00037846"/>
    <w:rsid w:val="00041772"/>
    <w:rsid w:val="000417C8"/>
    <w:rsid w:val="0004253D"/>
    <w:rsid w:val="0004302E"/>
    <w:rsid w:val="000537E9"/>
    <w:rsid w:val="00060DA8"/>
    <w:rsid w:val="0006205D"/>
    <w:rsid w:val="00062B55"/>
    <w:rsid w:val="00064BD8"/>
    <w:rsid w:val="00067C1D"/>
    <w:rsid w:val="0007016D"/>
    <w:rsid w:val="00071272"/>
    <w:rsid w:val="00071EF4"/>
    <w:rsid w:val="0007269E"/>
    <w:rsid w:val="000777AD"/>
    <w:rsid w:val="0008086A"/>
    <w:rsid w:val="0008133F"/>
    <w:rsid w:val="00083D4E"/>
    <w:rsid w:val="00084C95"/>
    <w:rsid w:val="0008572A"/>
    <w:rsid w:val="000917E9"/>
    <w:rsid w:val="00092764"/>
    <w:rsid w:val="0009304D"/>
    <w:rsid w:val="0009362D"/>
    <w:rsid w:val="00093BA0"/>
    <w:rsid w:val="00095DF8"/>
    <w:rsid w:val="000A276A"/>
    <w:rsid w:val="000A463E"/>
    <w:rsid w:val="000B39C0"/>
    <w:rsid w:val="000B583D"/>
    <w:rsid w:val="000C24D3"/>
    <w:rsid w:val="000C5745"/>
    <w:rsid w:val="000C6012"/>
    <w:rsid w:val="000D6509"/>
    <w:rsid w:val="000E2985"/>
    <w:rsid w:val="000F32FF"/>
    <w:rsid w:val="000F6442"/>
    <w:rsid w:val="001012FA"/>
    <w:rsid w:val="00110962"/>
    <w:rsid w:val="00110EB4"/>
    <w:rsid w:val="00112CD5"/>
    <w:rsid w:val="00112D41"/>
    <w:rsid w:val="001219A8"/>
    <w:rsid w:val="0012456D"/>
    <w:rsid w:val="00126886"/>
    <w:rsid w:val="00127E91"/>
    <w:rsid w:val="001320B1"/>
    <w:rsid w:val="00137848"/>
    <w:rsid w:val="00137CD3"/>
    <w:rsid w:val="00140CD1"/>
    <w:rsid w:val="00140F90"/>
    <w:rsid w:val="0014141E"/>
    <w:rsid w:val="00145973"/>
    <w:rsid w:val="00147811"/>
    <w:rsid w:val="0015211F"/>
    <w:rsid w:val="001578B1"/>
    <w:rsid w:val="00157CCC"/>
    <w:rsid w:val="00161089"/>
    <w:rsid w:val="00162ED7"/>
    <w:rsid w:val="00171F7E"/>
    <w:rsid w:val="00176FBD"/>
    <w:rsid w:val="00177F0E"/>
    <w:rsid w:val="00180CA8"/>
    <w:rsid w:val="00184862"/>
    <w:rsid w:val="00191386"/>
    <w:rsid w:val="001939C0"/>
    <w:rsid w:val="00193B7E"/>
    <w:rsid w:val="001955EF"/>
    <w:rsid w:val="001968AB"/>
    <w:rsid w:val="00197139"/>
    <w:rsid w:val="00197ECF"/>
    <w:rsid w:val="001A0F63"/>
    <w:rsid w:val="001A10E5"/>
    <w:rsid w:val="001A3F22"/>
    <w:rsid w:val="001A5E8B"/>
    <w:rsid w:val="001B1232"/>
    <w:rsid w:val="001B4675"/>
    <w:rsid w:val="001C2A3E"/>
    <w:rsid w:val="001C3858"/>
    <w:rsid w:val="001C5248"/>
    <w:rsid w:val="001D0E12"/>
    <w:rsid w:val="001D7CBA"/>
    <w:rsid w:val="001E0EE4"/>
    <w:rsid w:val="001E36E2"/>
    <w:rsid w:val="001E41B6"/>
    <w:rsid w:val="001E42BF"/>
    <w:rsid w:val="001E5859"/>
    <w:rsid w:val="001F3574"/>
    <w:rsid w:val="0020009C"/>
    <w:rsid w:val="002007CF"/>
    <w:rsid w:val="002015B8"/>
    <w:rsid w:val="002060D6"/>
    <w:rsid w:val="00206A8A"/>
    <w:rsid w:val="00230541"/>
    <w:rsid w:val="0024076D"/>
    <w:rsid w:val="002424D3"/>
    <w:rsid w:val="002444F4"/>
    <w:rsid w:val="002447FD"/>
    <w:rsid w:val="00261449"/>
    <w:rsid w:val="00264602"/>
    <w:rsid w:val="00265A85"/>
    <w:rsid w:val="0027139A"/>
    <w:rsid w:val="00271B57"/>
    <w:rsid w:val="00274059"/>
    <w:rsid w:val="00277A75"/>
    <w:rsid w:val="00280944"/>
    <w:rsid w:val="002814F7"/>
    <w:rsid w:val="00287911"/>
    <w:rsid w:val="0029405E"/>
    <w:rsid w:val="00295829"/>
    <w:rsid w:val="002967D4"/>
    <w:rsid w:val="0029691C"/>
    <w:rsid w:val="00297110"/>
    <w:rsid w:val="002A2ACC"/>
    <w:rsid w:val="002A5DAF"/>
    <w:rsid w:val="002A7CB4"/>
    <w:rsid w:val="002B1929"/>
    <w:rsid w:val="002B5223"/>
    <w:rsid w:val="002B6E8C"/>
    <w:rsid w:val="002C2A70"/>
    <w:rsid w:val="002C4A2A"/>
    <w:rsid w:val="002D3AC3"/>
    <w:rsid w:val="002D69E4"/>
    <w:rsid w:val="002E1AA0"/>
    <w:rsid w:val="002E3AB7"/>
    <w:rsid w:val="002E5F13"/>
    <w:rsid w:val="002E61F2"/>
    <w:rsid w:val="002E780F"/>
    <w:rsid w:val="003024C9"/>
    <w:rsid w:val="00304779"/>
    <w:rsid w:val="00305415"/>
    <w:rsid w:val="003127A8"/>
    <w:rsid w:val="00314E29"/>
    <w:rsid w:val="00316037"/>
    <w:rsid w:val="00316C42"/>
    <w:rsid w:val="00316E2A"/>
    <w:rsid w:val="00316F45"/>
    <w:rsid w:val="00316F6E"/>
    <w:rsid w:val="00317416"/>
    <w:rsid w:val="003207D6"/>
    <w:rsid w:val="0032094A"/>
    <w:rsid w:val="00322793"/>
    <w:rsid w:val="00322D90"/>
    <w:rsid w:val="00335F5D"/>
    <w:rsid w:val="00360580"/>
    <w:rsid w:val="003669A2"/>
    <w:rsid w:val="00373B3D"/>
    <w:rsid w:val="00374150"/>
    <w:rsid w:val="00375F4F"/>
    <w:rsid w:val="0037630E"/>
    <w:rsid w:val="003818A4"/>
    <w:rsid w:val="00386991"/>
    <w:rsid w:val="00386FEC"/>
    <w:rsid w:val="00392ED5"/>
    <w:rsid w:val="003A4D9D"/>
    <w:rsid w:val="003A58E1"/>
    <w:rsid w:val="003A7C8A"/>
    <w:rsid w:val="003A7FE7"/>
    <w:rsid w:val="003B1260"/>
    <w:rsid w:val="003B2A7C"/>
    <w:rsid w:val="003B2F20"/>
    <w:rsid w:val="003B2F60"/>
    <w:rsid w:val="003B4C02"/>
    <w:rsid w:val="003B5263"/>
    <w:rsid w:val="003B56C3"/>
    <w:rsid w:val="003C3091"/>
    <w:rsid w:val="003C5370"/>
    <w:rsid w:val="003C5800"/>
    <w:rsid w:val="003C6E1A"/>
    <w:rsid w:val="003C7C92"/>
    <w:rsid w:val="003C7D1B"/>
    <w:rsid w:val="003D16C3"/>
    <w:rsid w:val="003D5677"/>
    <w:rsid w:val="003D669A"/>
    <w:rsid w:val="003E1B10"/>
    <w:rsid w:val="003E1F2D"/>
    <w:rsid w:val="003E6A53"/>
    <w:rsid w:val="003F4260"/>
    <w:rsid w:val="003F4459"/>
    <w:rsid w:val="003F5A4D"/>
    <w:rsid w:val="00400CDB"/>
    <w:rsid w:val="00414D68"/>
    <w:rsid w:val="004157BB"/>
    <w:rsid w:val="004166F8"/>
    <w:rsid w:val="00420D9B"/>
    <w:rsid w:val="00426C99"/>
    <w:rsid w:val="004355FD"/>
    <w:rsid w:val="00444BB7"/>
    <w:rsid w:val="004517B8"/>
    <w:rsid w:val="00453B46"/>
    <w:rsid w:val="00460E47"/>
    <w:rsid w:val="004630E6"/>
    <w:rsid w:val="0046404A"/>
    <w:rsid w:val="00471E6D"/>
    <w:rsid w:val="004726DE"/>
    <w:rsid w:val="00480B72"/>
    <w:rsid w:val="00492580"/>
    <w:rsid w:val="0049573A"/>
    <w:rsid w:val="004A0860"/>
    <w:rsid w:val="004A13CC"/>
    <w:rsid w:val="004A5B04"/>
    <w:rsid w:val="004B0842"/>
    <w:rsid w:val="004B3CA7"/>
    <w:rsid w:val="004B4CC8"/>
    <w:rsid w:val="004C0494"/>
    <w:rsid w:val="004C51E0"/>
    <w:rsid w:val="004C6BD7"/>
    <w:rsid w:val="004D098A"/>
    <w:rsid w:val="004D77A8"/>
    <w:rsid w:val="004E05C6"/>
    <w:rsid w:val="004E1709"/>
    <w:rsid w:val="004E61C5"/>
    <w:rsid w:val="004E61F6"/>
    <w:rsid w:val="004E65D6"/>
    <w:rsid w:val="004E6633"/>
    <w:rsid w:val="004F11CA"/>
    <w:rsid w:val="004F2D72"/>
    <w:rsid w:val="00500291"/>
    <w:rsid w:val="00501842"/>
    <w:rsid w:val="00503FF6"/>
    <w:rsid w:val="005057BA"/>
    <w:rsid w:val="0050650A"/>
    <w:rsid w:val="00512705"/>
    <w:rsid w:val="005169AB"/>
    <w:rsid w:val="00523AA6"/>
    <w:rsid w:val="00526775"/>
    <w:rsid w:val="00530370"/>
    <w:rsid w:val="005305B3"/>
    <w:rsid w:val="0053387F"/>
    <w:rsid w:val="005341AA"/>
    <w:rsid w:val="0054379F"/>
    <w:rsid w:val="00544C4F"/>
    <w:rsid w:val="005469E1"/>
    <w:rsid w:val="00546EDB"/>
    <w:rsid w:val="00547E9E"/>
    <w:rsid w:val="00551D13"/>
    <w:rsid w:val="00551FFB"/>
    <w:rsid w:val="00553816"/>
    <w:rsid w:val="00561A64"/>
    <w:rsid w:val="00570198"/>
    <w:rsid w:val="0058057B"/>
    <w:rsid w:val="00581F9C"/>
    <w:rsid w:val="00583736"/>
    <w:rsid w:val="005837D4"/>
    <w:rsid w:val="00585FB0"/>
    <w:rsid w:val="00586D27"/>
    <w:rsid w:val="00586DB7"/>
    <w:rsid w:val="00595856"/>
    <w:rsid w:val="005A2AE6"/>
    <w:rsid w:val="005A54A7"/>
    <w:rsid w:val="005A5EB9"/>
    <w:rsid w:val="005A7B92"/>
    <w:rsid w:val="005B12B9"/>
    <w:rsid w:val="005B2780"/>
    <w:rsid w:val="005C72B5"/>
    <w:rsid w:val="005D50BC"/>
    <w:rsid w:val="005E539F"/>
    <w:rsid w:val="005F3071"/>
    <w:rsid w:val="005F3925"/>
    <w:rsid w:val="006006BD"/>
    <w:rsid w:val="00603ECB"/>
    <w:rsid w:val="00604116"/>
    <w:rsid w:val="006044A9"/>
    <w:rsid w:val="00613A83"/>
    <w:rsid w:val="00617005"/>
    <w:rsid w:val="00617753"/>
    <w:rsid w:val="00622520"/>
    <w:rsid w:val="00623D68"/>
    <w:rsid w:val="00624E24"/>
    <w:rsid w:val="0062647F"/>
    <w:rsid w:val="00633341"/>
    <w:rsid w:val="00633483"/>
    <w:rsid w:val="0063349D"/>
    <w:rsid w:val="006338DF"/>
    <w:rsid w:val="00645E0D"/>
    <w:rsid w:val="00647DBF"/>
    <w:rsid w:val="00652345"/>
    <w:rsid w:val="00653C99"/>
    <w:rsid w:val="006548D7"/>
    <w:rsid w:val="006552D3"/>
    <w:rsid w:val="00656F42"/>
    <w:rsid w:val="00662619"/>
    <w:rsid w:val="00662765"/>
    <w:rsid w:val="00663E1C"/>
    <w:rsid w:val="00664C9C"/>
    <w:rsid w:val="006701B3"/>
    <w:rsid w:val="0067324A"/>
    <w:rsid w:val="00682CF4"/>
    <w:rsid w:val="00684776"/>
    <w:rsid w:val="006848CA"/>
    <w:rsid w:val="006A1BDC"/>
    <w:rsid w:val="006A2D00"/>
    <w:rsid w:val="006A383F"/>
    <w:rsid w:val="006A6430"/>
    <w:rsid w:val="006B0060"/>
    <w:rsid w:val="006B0808"/>
    <w:rsid w:val="006B4600"/>
    <w:rsid w:val="006B4748"/>
    <w:rsid w:val="006C113B"/>
    <w:rsid w:val="006C53C8"/>
    <w:rsid w:val="006C5473"/>
    <w:rsid w:val="006C7519"/>
    <w:rsid w:val="006C7830"/>
    <w:rsid w:val="006E0A4D"/>
    <w:rsid w:val="006E1EF9"/>
    <w:rsid w:val="006E7E81"/>
    <w:rsid w:val="006F04B1"/>
    <w:rsid w:val="006F6249"/>
    <w:rsid w:val="007110C7"/>
    <w:rsid w:val="007222F0"/>
    <w:rsid w:val="00724073"/>
    <w:rsid w:val="007278A4"/>
    <w:rsid w:val="007318D0"/>
    <w:rsid w:val="00731CFA"/>
    <w:rsid w:val="00734A48"/>
    <w:rsid w:val="0073519D"/>
    <w:rsid w:val="00741A16"/>
    <w:rsid w:val="00741AC2"/>
    <w:rsid w:val="00741DE3"/>
    <w:rsid w:val="00742F51"/>
    <w:rsid w:val="007557FA"/>
    <w:rsid w:val="00762FAA"/>
    <w:rsid w:val="0076455B"/>
    <w:rsid w:val="00765102"/>
    <w:rsid w:val="007654BF"/>
    <w:rsid w:val="00765546"/>
    <w:rsid w:val="00767CF9"/>
    <w:rsid w:val="00774413"/>
    <w:rsid w:val="007744D4"/>
    <w:rsid w:val="00776B8A"/>
    <w:rsid w:val="00777E6E"/>
    <w:rsid w:val="007803CE"/>
    <w:rsid w:val="00783560"/>
    <w:rsid w:val="00783AD7"/>
    <w:rsid w:val="00785FE1"/>
    <w:rsid w:val="0079063F"/>
    <w:rsid w:val="00793277"/>
    <w:rsid w:val="00796E7F"/>
    <w:rsid w:val="007A3FB0"/>
    <w:rsid w:val="007A6B06"/>
    <w:rsid w:val="007B02D5"/>
    <w:rsid w:val="007B3161"/>
    <w:rsid w:val="007B3E10"/>
    <w:rsid w:val="007C4527"/>
    <w:rsid w:val="007D5A55"/>
    <w:rsid w:val="007D5EE0"/>
    <w:rsid w:val="007D7E3E"/>
    <w:rsid w:val="007E5437"/>
    <w:rsid w:val="007F4807"/>
    <w:rsid w:val="007F5EDE"/>
    <w:rsid w:val="007F652E"/>
    <w:rsid w:val="0080124D"/>
    <w:rsid w:val="008057B9"/>
    <w:rsid w:val="00810462"/>
    <w:rsid w:val="008108E3"/>
    <w:rsid w:val="00811830"/>
    <w:rsid w:val="008127DF"/>
    <w:rsid w:val="00813B67"/>
    <w:rsid w:val="00813E02"/>
    <w:rsid w:val="00813F11"/>
    <w:rsid w:val="00817EA0"/>
    <w:rsid w:val="00820BB4"/>
    <w:rsid w:val="00822028"/>
    <w:rsid w:val="00822F19"/>
    <w:rsid w:val="00824F81"/>
    <w:rsid w:val="00830F9C"/>
    <w:rsid w:val="008346B4"/>
    <w:rsid w:val="00835BF6"/>
    <w:rsid w:val="00840BA6"/>
    <w:rsid w:val="00841131"/>
    <w:rsid w:val="00841232"/>
    <w:rsid w:val="008441E1"/>
    <w:rsid w:val="0085122F"/>
    <w:rsid w:val="00851A47"/>
    <w:rsid w:val="00852D26"/>
    <w:rsid w:val="00861C90"/>
    <w:rsid w:val="00870EF1"/>
    <w:rsid w:val="00871880"/>
    <w:rsid w:val="00885ECB"/>
    <w:rsid w:val="00892497"/>
    <w:rsid w:val="008957D9"/>
    <w:rsid w:val="008A050A"/>
    <w:rsid w:val="008A563C"/>
    <w:rsid w:val="008A7081"/>
    <w:rsid w:val="008C4C81"/>
    <w:rsid w:val="008C5158"/>
    <w:rsid w:val="008D2638"/>
    <w:rsid w:val="008D288F"/>
    <w:rsid w:val="008D50F3"/>
    <w:rsid w:val="008D7179"/>
    <w:rsid w:val="008D770D"/>
    <w:rsid w:val="008E5C73"/>
    <w:rsid w:val="008E6414"/>
    <w:rsid w:val="008F0069"/>
    <w:rsid w:val="008F4B78"/>
    <w:rsid w:val="008F59F4"/>
    <w:rsid w:val="008F6C22"/>
    <w:rsid w:val="00903246"/>
    <w:rsid w:val="00903978"/>
    <w:rsid w:val="00906279"/>
    <w:rsid w:val="00906F20"/>
    <w:rsid w:val="009139B7"/>
    <w:rsid w:val="00916D13"/>
    <w:rsid w:val="00920975"/>
    <w:rsid w:val="00923192"/>
    <w:rsid w:val="00932F92"/>
    <w:rsid w:val="00946F79"/>
    <w:rsid w:val="00947060"/>
    <w:rsid w:val="00950BCA"/>
    <w:rsid w:val="00950E1B"/>
    <w:rsid w:val="00964055"/>
    <w:rsid w:val="00970F84"/>
    <w:rsid w:val="009716AB"/>
    <w:rsid w:val="00972140"/>
    <w:rsid w:val="00974CA4"/>
    <w:rsid w:val="00976D54"/>
    <w:rsid w:val="009872DF"/>
    <w:rsid w:val="009909B0"/>
    <w:rsid w:val="00994FAE"/>
    <w:rsid w:val="00996DCA"/>
    <w:rsid w:val="009A1592"/>
    <w:rsid w:val="009A3248"/>
    <w:rsid w:val="009A69FA"/>
    <w:rsid w:val="009A6C04"/>
    <w:rsid w:val="009B06D9"/>
    <w:rsid w:val="009B0892"/>
    <w:rsid w:val="009B2178"/>
    <w:rsid w:val="009B7356"/>
    <w:rsid w:val="009C1A95"/>
    <w:rsid w:val="009C4AA4"/>
    <w:rsid w:val="009C7B61"/>
    <w:rsid w:val="009D0194"/>
    <w:rsid w:val="009D5887"/>
    <w:rsid w:val="009D7208"/>
    <w:rsid w:val="009E1CB9"/>
    <w:rsid w:val="009E549E"/>
    <w:rsid w:val="00A06B1F"/>
    <w:rsid w:val="00A17E13"/>
    <w:rsid w:val="00A24AA0"/>
    <w:rsid w:val="00A32465"/>
    <w:rsid w:val="00A333B0"/>
    <w:rsid w:val="00A35FBE"/>
    <w:rsid w:val="00A37664"/>
    <w:rsid w:val="00A45EB9"/>
    <w:rsid w:val="00A47102"/>
    <w:rsid w:val="00A47A4B"/>
    <w:rsid w:val="00A5102D"/>
    <w:rsid w:val="00A53E5E"/>
    <w:rsid w:val="00A6133F"/>
    <w:rsid w:val="00A66F1B"/>
    <w:rsid w:val="00A71E62"/>
    <w:rsid w:val="00A7469E"/>
    <w:rsid w:val="00A749E5"/>
    <w:rsid w:val="00A854CA"/>
    <w:rsid w:val="00A85A95"/>
    <w:rsid w:val="00A90986"/>
    <w:rsid w:val="00A91277"/>
    <w:rsid w:val="00A91EC7"/>
    <w:rsid w:val="00A94A0C"/>
    <w:rsid w:val="00A962C0"/>
    <w:rsid w:val="00A96F18"/>
    <w:rsid w:val="00A97425"/>
    <w:rsid w:val="00AA6183"/>
    <w:rsid w:val="00AB104B"/>
    <w:rsid w:val="00AB4964"/>
    <w:rsid w:val="00AB6235"/>
    <w:rsid w:val="00AC055F"/>
    <w:rsid w:val="00AC59A4"/>
    <w:rsid w:val="00AD6873"/>
    <w:rsid w:val="00AD6A09"/>
    <w:rsid w:val="00AD7338"/>
    <w:rsid w:val="00B0554A"/>
    <w:rsid w:val="00B073C0"/>
    <w:rsid w:val="00B13426"/>
    <w:rsid w:val="00B15060"/>
    <w:rsid w:val="00B15242"/>
    <w:rsid w:val="00B20473"/>
    <w:rsid w:val="00B220A4"/>
    <w:rsid w:val="00B222A5"/>
    <w:rsid w:val="00B22B15"/>
    <w:rsid w:val="00B263FC"/>
    <w:rsid w:val="00B268CE"/>
    <w:rsid w:val="00B34077"/>
    <w:rsid w:val="00B34704"/>
    <w:rsid w:val="00B412B7"/>
    <w:rsid w:val="00B52CE3"/>
    <w:rsid w:val="00B53E07"/>
    <w:rsid w:val="00B54863"/>
    <w:rsid w:val="00B56F54"/>
    <w:rsid w:val="00B5734B"/>
    <w:rsid w:val="00B61D5F"/>
    <w:rsid w:val="00B637FB"/>
    <w:rsid w:val="00B639A0"/>
    <w:rsid w:val="00B650A3"/>
    <w:rsid w:val="00B6564E"/>
    <w:rsid w:val="00B66347"/>
    <w:rsid w:val="00B70EB3"/>
    <w:rsid w:val="00B713F1"/>
    <w:rsid w:val="00B7344A"/>
    <w:rsid w:val="00B83E8F"/>
    <w:rsid w:val="00B86138"/>
    <w:rsid w:val="00B91E1D"/>
    <w:rsid w:val="00B93BDF"/>
    <w:rsid w:val="00BA1059"/>
    <w:rsid w:val="00BA16E6"/>
    <w:rsid w:val="00BA174E"/>
    <w:rsid w:val="00BA18E6"/>
    <w:rsid w:val="00BA29BF"/>
    <w:rsid w:val="00BA2C16"/>
    <w:rsid w:val="00BA4247"/>
    <w:rsid w:val="00BA7D43"/>
    <w:rsid w:val="00BB1857"/>
    <w:rsid w:val="00BB3137"/>
    <w:rsid w:val="00BB66C8"/>
    <w:rsid w:val="00BC4EAF"/>
    <w:rsid w:val="00BC53E1"/>
    <w:rsid w:val="00BD0E3D"/>
    <w:rsid w:val="00BD1953"/>
    <w:rsid w:val="00BD2CB6"/>
    <w:rsid w:val="00BE2F56"/>
    <w:rsid w:val="00BE362E"/>
    <w:rsid w:val="00BE3806"/>
    <w:rsid w:val="00BE4919"/>
    <w:rsid w:val="00BE74B2"/>
    <w:rsid w:val="00BF0359"/>
    <w:rsid w:val="00BF1064"/>
    <w:rsid w:val="00C04D8F"/>
    <w:rsid w:val="00C072AC"/>
    <w:rsid w:val="00C14086"/>
    <w:rsid w:val="00C26E37"/>
    <w:rsid w:val="00C27340"/>
    <w:rsid w:val="00C33D75"/>
    <w:rsid w:val="00C34DFC"/>
    <w:rsid w:val="00C35FB2"/>
    <w:rsid w:val="00C36174"/>
    <w:rsid w:val="00C376BD"/>
    <w:rsid w:val="00C40C7D"/>
    <w:rsid w:val="00C45227"/>
    <w:rsid w:val="00C4779D"/>
    <w:rsid w:val="00C47BF4"/>
    <w:rsid w:val="00C50C4E"/>
    <w:rsid w:val="00C520AF"/>
    <w:rsid w:val="00C5748A"/>
    <w:rsid w:val="00C60876"/>
    <w:rsid w:val="00C63194"/>
    <w:rsid w:val="00C66886"/>
    <w:rsid w:val="00C67B8E"/>
    <w:rsid w:val="00C702D6"/>
    <w:rsid w:val="00C741ED"/>
    <w:rsid w:val="00C749C5"/>
    <w:rsid w:val="00C74D60"/>
    <w:rsid w:val="00C82A7F"/>
    <w:rsid w:val="00C8402C"/>
    <w:rsid w:val="00C86A98"/>
    <w:rsid w:val="00C87155"/>
    <w:rsid w:val="00C95E3D"/>
    <w:rsid w:val="00C97177"/>
    <w:rsid w:val="00CA2E61"/>
    <w:rsid w:val="00CA4D80"/>
    <w:rsid w:val="00CA5568"/>
    <w:rsid w:val="00CB1BBC"/>
    <w:rsid w:val="00CB2347"/>
    <w:rsid w:val="00CB40BB"/>
    <w:rsid w:val="00CC6E77"/>
    <w:rsid w:val="00CD224B"/>
    <w:rsid w:val="00CD4AF0"/>
    <w:rsid w:val="00CD5603"/>
    <w:rsid w:val="00CD577A"/>
    <w:rsid w:val="00CD76D2"/>
    <w:rsid w:val="00CE1A04"/>
    <w:rsid w:val="00CE5496"/>
    <w:rsid w:val="00CE57B3"/>
    <w:rsid w:val="00CF20BB"/>
    <w:rsid w:val="00CF434E"/>
    <w:rsid w:val="00D03D73"/>
    <w:rsid w:val="00D0562B"/>
    <w:rsid w:val="00D06BE9"/>
    <w:rsid w:val="00D1765A"/>
    <w:rsid w:val="00D304DD"/>
    <w:rsid w:val="00D324A2"/>
    <w:rsid w:val="00D3322D"/>
    <w:rsid w:val="00D40EE4"/>
    <w:rsid w:val="00D43691"/>
    <w:rsid w:val="00D43D08"/>
    <w:rsid w:val="00D46AFC"/>
    <w:rsid w:val="00D5210D"/>
    <w:rsid w:val="00D5219F"/>
    <w:rsid w:val="00D5772D"/>
    <w:rsid w:val="00D608F0"/>
    <w:rsid w:val="00D61F72"/>
    <w:rsid w:val="00D620AE"/>
    <w:rsid w:val="00D64A9B"/>
    <w:rsid w:val="00D72299"/>
    <w:rsid w:val="00D724A7"/>
    <w:rsid w:val="00D73BCB"/>
    <w:rsid w:val="00D753BB"/>
    <w:rsid w:val="00D831DD"/>
    <w:rsid w:val="00D84AB6"/>
    <w:rsid w:val="00D85541"/>
    <w:rsid w:val="00D90965"/>
    <w:rsid w:val="00D955BE"/>
    <w:rsid w:val="00DA0D71"/>
    <w:rsid w:val="00DA2277"/>
    <w:rsid w:val="00DA47D5"/>
    <w:rsid w:val="00DA5076"/>
    <w:rsid w:val="00DA55A5"/>
    <w:rsid w:val="00DC2A61"/>
    <w:rsid w:val="00DC615F"/>
    <w:rsid w:val="00DD0188"/>
    <w:rsid w:val="00DD0704"/>
    <w:rsid w:val="00DD3470"/>
    <w:rsid w:val="00DD457C"/>
    <w:rsid w:val="00DD4EDB"/>
    <w:rsid w:val="00DE3B72"/>
    <w:rsid w:val="00DE70B2"/>
    <w:rsid w:val="00DF539F"/>
    <w:rsid w:val="00E00E7B"/>
    <w:rsid w:val="00E022F1"/>
    <w:rsid w:val="00E03AD5"/>
    <w:rsid w:val="00E05D3B"/>
    <w:rsid w:val="00E1341B"/>
    <w:rsid w:val="00E13A02"/>
    <w:rsid w:val="00E14E71"/>
    <w:rsid w:val="00E16A04"/>
    <w:rsid w:val="00E21F8B"/>
    <w:rsid w:val="00E222EF"/>
    <w:rsid w:val="00E329AE"/>
    <w:rsid w:val="00E3330B"/>
    <w:rsid w:val="00E43ABF"/>
    <w:rsid w:val="00E52887"/>
    <w:rsid w:val="00E569E3"/>
    <w:rsid w:val="00E5731A"/>
    <w:rsid w:val="00E605BD"/>
    <w:rsid w:val="00E764F9"/>
    <w:rsid w:val="00E82597"/>
    <w:rsid w:val="00E8288F"/>
    <w:rsid w:val="00E86E21"/>
    <w:rsid w:val="00E879A3"/>
    <w:rsid w:val="00E9096E"/>
    <w:rsid w:val="00EB16EF"/>
    <w:rsid w:val="00EB1A6F"/>
    <w:rsid w:val="00EB1FAC"/>
    <w:rsid w:val="00EB3568"/>
    <w:rsid w:val="00EC1275"/>
    <w:rsid w:val="00EC2B41"/>
    <w:rsid w:val="00EC3533"/>
    <w:rsid w:val="00ED0235"/>
    <w:rsid w:val="00ED19A5"/>
    <w:rsid w:val="00ED1AA0"/>
    <w:rsid w:val="00ED2112"/>
    <w:rsid w:val="00ED3193"/>
    <w:rsid w:val="00ED5C4B"/>
    <w:rsid w:val="00ED6481"/>
    <w:rsid w:val="00EE20C0"/>
    <w:rsid w:val="00EE4418"/>
    <w:rsid w:val="00EE5BAC"/>
    <w:rsid w:val="00EE6CFC"/>
    <w:rsid w:val="00EF4E1C"/>
    <w:rsid w:val="00EF7518"/>
    <w:rsid w:val="00F0387C"/>
    <w:rsid w:val="00F04485"/>
    <w:rsid w:val="00F049BB"/>
    <w:rsid w:val="00F0522C"/>
    <w:rsid w:val="00F0620C"/>
    <w:rsid w:val="00F0679D"/>
    <w:rsid w:val="00F07672"/>
    <w:rsid w:val="00F1088F"/>
    <w:rsid w:val="00F234EE"/>
    <w:rsid w:val="00F24612"/>
    <w:rsid w:val="00F25C9C"/>
    <w:rsid w:val="00F30FDE"/>
    <w:rsid w:val="00F32A52"/>
    <w:rsid w:val="00F43613"/>
    <w:rsid w:val="00F44171"/>
    <w:rsid w:val="00F454C4"/>
    <w:rsid w:val="00F45D98"/>
    <w:rsid w:val="00F46D26"/>
    <w:rsid w:val="00F50A4A"/>
    <w:rsid w:val="00F604B6"/>
    <w:rsid w:val="00F63F75"/>
    <w:rsid w:val="00F6532C"/>
    <w:rsid w:val="00F66674"/>
    <w:rsid w:val="00F77407"/>
    <w:rsid w:val="00F81B80"/>
    <w:rsid w:val="00F82C4F"/>
    <w:rsid w:val="00F85935"/>
    <w:rsid w:val="00F86ED8"/>
    <w:rsid w:val="00F92229"/>
    <w:rsid w:val="00F9315F"/>
    <w:rsid w:val="00F935A8"/>
    <w:rsid w:val="00F961BD"/>
    <w:rsid w:val="00F97CFB"/>
    <w:rsid w:val="00FA1C58"/>
    <w:rsid w:val="00FA2A55"/>
    <w:rsid w:val="00FA4C71"/>
    <w:rsid w:val="00FA6272"/>
    <w:rsid w:val="00FB03A3"/>
    <w:rsid w:val="00FB19B5"/>
    <w:rsid w:val="00FB48BD"/>
    <w:rsid w:val="00FB59E8"/>
    <w:rsid w:val="00FB7C29"/>
    <w:rsid w:val="00FC3799"/>
    <w:rsid w:val="00FC7510"/>
    <w:rsid w:val="00FC7BF9"/>
    <w:rsid w:val="00FD282F"/>
    <w:rsid w:val="00FD65E2"/>
    <w:rsid w:val="00FD6B7E"/>
    <w:rsid w:val="00FE285A"/>
    <w:rsid w:val="00FE4013"/>
    <w:rsid w:val="00FE4FC4"/>
    <w:rsid w:val="01507133"/>
    <w:rsid w:val="02383B00"/>
    <w:rsid w:val="02DA30EE"/>
    <w:rsid w:val="03030C07"/>
    <w:rsid w:val="033A40F8"/>
    <w:rsid w:val="041024F7"/>
    <w:rsid w:val="0447332A"/>
    <w:rsid w:val="04A539B4"/>
    <w:rsid w:val="04A853C8"/>
    <w:rsid w:val="05293CB1"/>
    <w:rsid w:val="0557464E"/>
    <w:rsid w:val="0628547E"/>
    <w:rsid w:val="064701D6"/>
    <w:rsid w:val="06BB7613"/>
    <w:rsid w:val="06D62DC5"/>
    <w:rsid w:val="07FA512F"/>
    <w:rsid w:val="088C30B7"/>
    <w:rsid w:val="0897004F"/>
    <w:rsid w:val="097E0D6B"/>
    <w:rsid w:val="0A656D4E"/>
    <w:rsid w:val="0A8B76E4"/>
    <w:rsid w:val="0AE6139B"/>
    <w:rsid w:val="0B053BA6"/>
    <w:rsid w:val="0B0E17C2"/>
    <w:rsid w:val="0B40102A"/>
    <w:rsid w:val="0C75635B"/>
    <w:rsid w:val="0CC235F1"/>
    <w:rsid w:val="0CCD37CE"/>
    <w:rsid w:val="0D5D718D"/>
    <w:rsid w:val="0DAD05C3"/>
    <w:rsid w:val="0E586885"/>
    <w:rsid w:val="0E6A5793"/>
    <w:rsid w:val="0E89082F"/>
    <w:rsid w:val="0F85337F"/>
    <w:rsid w:val="0F8E0EA9"/>
    <w:rsid w:val="107238B4"/>
    <w:rsid w:val="10C278B6"/>
    <w:rsid w:val="11827E30"/>
    <w:rsid w:val="12807245"/>
    <w:rsid w:val="135C56EF"/>
    <w:rsid w:val="137D5FED"/>
    <w:rsid w:val="13955C53"/>
    <w:rsid w:val="13A34B08"/>
    <w:rsid w:val="140E60E9"/>
    <w:rsid w:val="141717B8"/>
    <w:rsid w:val="145F3943"/>
    <w:rsid w:val="154F20BD"/>
    <w:rsid w:val="158375CA"/>
    <w:rsid w:val="158F439D"/>
    <w:rsid w:val="159B207C"/>
    <w:rsid w:val="16581AB8"/>
    <w:rsid w:val="16800828"/>
    <w:rsid w:val="16EA6497"/>
    <w:rsid w:val="1750218A"/>
    <w:rsid w:val="18037326"/>
    <w:rsid w:val="19AB7D87"/>
    <w:rsid w:val="19DE1850"/>
    <w:rsid w:val="1A402623"/>
    <w:rsid w:val="1A457AF3"/>
    <w:rsid w:val="1AE17FE2"/>
    <w:rsid w:val="1B8648CC"/>
    <w:rsid w:val="1C5E5A7C"/>
    <w:rsid w:val="1CA670F7"/>
    <w:rsid w:val="1D077978"/>
    <w:rsid w:val="1ECA1067"/>
    <w:rsid w:val="20015AD1"/>
    <w:rsid w:val="205B62D9"/>
    <w:rsid w:val="21153CCE"/>
    <w:rsid w:val="229E1E7F"/>
    <w:rsid w:val="22D21441"/>
    <w:rsid w:val="2301696F"/>
    <w:rsid w:val="23977813"/>
    <w:rsid w:val="23E2248D"/>
    <w:rsid w:val="247C3522"/>
    <w:rsid w:val="24E46F1D"/>
    <w:rsid w:val="25232791"/>
    <w:rsid w:val="25DE34CD"/>
    <w:rsid w:val="26B552A4"/>
    <w:rsid w:val="26D34B1D"/>
    <w:rsid w:val="26F71D7A"/>
    <w:rsid w:val="270C3E2D"/>
    <w:rsid w:val="28C10D2E"/>
    <w:rsid w:val="28EE10E6"/>
    <w:rsid w:val="290B1B48"/>
    <w:rsid w:val="2A470961"/>
    <w:rsid w:val="2AB17A32"/>
    <w:rsid w:val="2B192A5A"/>
    <w:rsid w:val="2B495B2C"/>
    <w:rsid w:val="2B942982"/>
    <w:rsid w:val="2BA75782"/>
    <w:rsid w:val="2CB85102"/>
    <w:rsid w:val="2D613B29"/>
    <w:rsid w:val="2D9A7F05"/>
    <w:rsid w:val="2DAF3A94"/>
    <w:rsid w:val="2E01291C"/>
    <w:rsid w:val="2E2D1ACD"/>
    <w:rsid w:val="2E5359A3"/>
    <w:rsid w:val="2E703D87"/>
    <w:rsid w:val="2E7456DB"/>
    <w:rsid w:val="2EB11877"/>
    <w:rsid w:val="2F9C3821"/>
    <w:rsid w:val="30592D3C"/>
    <w:rsid w:val="306E49DD"/>
    <w:rsid w:val="30DB5794"/>
    <w:rsid w:val="31103D07"/>
    <w:rsid w:val="32C75EA2"/>
    <w:rsid w:val="33336F75"/>
    <w:rsid w:val="33387DB6"/>
    <w:rsid w:val="3387533F"/>
    <w:rsid w:val="33C30B93"/>
    <w:rsid w:val="34892F31"/>
    <w:rsid w:val="34935D21"/>
    <w:rsid w:val="34B76713"/>
    <w:rsid w:val="353C458F"/>
    <w:rsid w:val="362D28F4"/>
    <w:rsid w:val="368F42A6"/>
    <w:rsid w:val="36A72291"/>
    <w:rsid w:val="376F7218"/>
    <w:rsid w:val="377D5F4D"/>
    <w:rsid w:val="37E7597F"/>
    <w:rsid w:val="38722B31"/>
    <w:rsid w:val="38C91BF8"/>
    <w:rsid w:val="390330D5"/>
    <w:rsid w:val="39221BD5"/>
    <w:rsid w:val="392C3817"/>
    <w:rsid w:val="39B10F1C"/>
    <w:rsid w:val="39DC0C7D"/>
    <w:rsid w:val="39F43354"/>
    <w:rsid w:val="39FA34CB"/>
    <w:rsid w:val="3A880D94"/>
    <w:rsid w:val="3AC455FA"/>
    <w:rsid w:val="3CE0686E"/>
    <w:rsid w:val="3CF73F72"/>
    <w:rsid w:val="3D100CC1"/>
    <w:rsid w:val="3D1C46C2"/>
    <w:rsid w:val="3D7F56C8"/>
    <w:rsid w:val="3DC24241"/>
    <w:rsid w:val="3E832EAB"/>
    <w:rsid w:val="3FDB2968"/>
    <w:rsid w:val="400B0E19"/>
    <w:rsid w:val="405D5C16"/>
    <w:rsid w:val="413620ED"/>
    <w:rsid w:val="42995AE5"/>
    <w:rsid w:val="44B670A0"/>
    <w:rsid w:val="44F84E52"/>
    <w:rsid w:val="456C6D23"/>
    <w:rsid w:val="457A474B"/>
    <w:rsid w:val="46471BD0"/>
    <w:rsid w:val="46D412FA"/>
    <w:rsid w:val="475F7B1A"/>
    <w:rsid w:val="4797523D"/>
    <w:rsid w:val="47DD0700"/>
    <w:rsid w:val="47F17164"/>
    <w:rsid w:val="48302BA1"/>
    <w:rsid w:val="48363156"/>
    <w:rsid w:val="489616BC"/>
    <w:rsid w:val="494A5803"/>
    <w:rsid w:val="4A261003"/>
    <w:rsid w:val="4B691434"/>
    <w:rsid w:val="4B7A64BC"/>
    <w:rsid w:val="4BC830DF"/>
    <w:rsid w:val="4BF316F4"/>
    <w:rsid w:val="4D3A4F03"/>
    <w:rsid w:val="4DF63909"/>
    <w:rsid w:val="4DFE17C9"/>
    <w:rsid w:val="4E4C306A"/>
    <w:rsid w:val="4F5F1D75"/>
    <w:rsid w:val="4FAA01A6"/>
    <w:rsid w:val="4FAE6B17"/>
    <w:rsid w:val="50434913"/>
    <w:rsid w:val="51301176"/>
    <w:rsid w:val="51396AE7"/>
    <w:rsid w:val="51FE1768"/>
    <w:rsid w:val="52107D4A"/>
    <w:rsid w:val="52491CC7"/>
    <w:rsid w:val="52EF0A81"/>
    <w:rsid w:val="53040AA4"/>
    <w:rsid w:val="538717FF"/>
    <w:rsid w:val="53DB49A2"/>
    <w:rsid w:val="54202A05"/>
    <w:rsid w:val="552877C1"/>
    <w:rsid w:val="55291EF5"/>
    <w:rsid w:val="55EA0843"/>
    <w:rsid w:val="56174EB3"/>
    <w:rsid w:val="56824A52"/>
    <w:rsid w:val="56830B47"/>
    <w:rsid w:val="569576C3"/>
    <w:rsid w:val="56B655A2"/>
    <w:rsid w:val="57537987"/>
    <w:rsid w:val="57766065"/>
    <w:rsid w:val="58CB2EF4"/>
    <w:rsid w:val="59532377"/>
    <w:rsid w:val="5A1C3DC4"/>
    <w:rsid w:val="5A281E4C"/>
    <w:rsid w:val="5AFF2D36"/>
    <w:rsid w:val="5B20485E"/>
    <w:rsid w:val="5B2B3FD4"/>
    <w:rsid w:val="5D1E5856"/>
    <w:rsid w:val="5D5925AA"/>
    <w:rsid w:val="5D9560A3"/>
    <w:rsid w:val="5DC72D38"/>
    <w:rsid w:val="5E7B43BC"/>
    <w:rsid w:val="5EE766F6"/>
    <w:rsid w:val="5FA84910"/>
    <w:rsid w:val="60BF0D51"/>
    <w:rsid w:val="61302BC3"/>
    <w:rsid w:val="619B63D8"/>
    <w:rsid w:val="62CD2DFF"/>
    <w:rsid w:val="6311422A"/>
    <w:rsid w:val="638D51FD"/>
    <w:rsid w:val="63972816"/>
    <w:rsid w:val="63AF6097"/>
    <w:rsid w:val="649816B9"/>
    <w:rsid w:val="64E114E4"/>
    <w:rsid w:val="655F5266"/>
    <w:rsid w:val="65E9674F"/>
    <w:rsid w:val="66205681"/>
    <w:rsid w:val="66494869"/>
    <w:rsid w:val="66D15F9C"/>
    <w:rsid w:val="66EB2DF4"/>
    <w:rsid w:val="670614DD"/>
    <w:rsid w:val="67633344"/>
    <w:rsid w:val="67E947B2"/>
    <w:rsid w:val="681A46D5"/>
    <w:rsid w:val="681F0C80"/>
    <w:rsid w:val="682E6567"/>
    <w:rsid w:val="68980BF7"/>
    <w:rsid w:val="69096B44"/>
    <w:rsid w:val="69386E48"/>
    <w:rsid w:val="69704784"/>
    <w:rsid w:val="69AD11F1"/>
    <w:rsid w:val="6A5F7675"/>
    <w:rsid w:val="6B673D5F"/>
    <w:rsid w:val="6BD122DC"/>
    <w:rsid w:val="6D2074D5"/>
    <w:rsid w:val="6DF433DD"/>
    <w:rsid w:val="6E3012E1"/>
    <w:rsid w:val="6E4F6966"/>
    <w:rsid w:val="6F1E7F02"/>
    <w:rsid w:val="6F822F7D"/>
    <w:rsid w:val="70390157"/>
    <w:rsid w:val="70E650EE"/>
    <w:rsid w:val="714B2522"/>
    <w:rsid w:val="7197756E"/>
    <w:rsid w:val="719A5FE9"/>
    <w:rsid w:val="71C32816"/>
    <w:rsid w:val="7246587F"/>
    <w:rsid w:val="727A1406"/>
    <w:rsid w:val="72AF3339"/>
    <w:rsid w:val="72C21AC9"/>
    <w:rsid w:val="72F4323C"/>
    <w:rsid w:val="731A15C7"/>
    <w:rsid w:val="73A5336C"/>
    <w:rsid w:val="73EB4379"/>
    <w:rsid w:val="74475EF3"/>
    <w:rsid w:val="75467674"/>
    <w:rsid w:val="77B45BA8"/>
    <w:rsid w:val="77CC2E9B"/>
    <w:rsid w:val="77EB11F8"/>
    <w:rsid w:val="78823A62"/>
    <w:rsid w:val="793B6B47"/>
    <w:rsid w:val="79552420"/>
    <w:rsid w:val="7A595A8A"/>
    <w:rsid w:val="7AFF7646"/>
    <w:rsid w:val="7B89466F"/>
    <w:rsid w:val="7C3A1AB3"/>
    <w:rsid w:val="7C401F43"/>
    <w:rsid w:val="7C455BD3"/>
    <w:rsid w:val="7CC54422"/>
    <w:rsid w:val="7CE1382B"/>
    <w:rsid w:val="7D7E4DB2"/>
    <w:rsid w:val="7DAC3A36"/>
    <w:rsid w:val="7DCA1161"/>
    <w:rsid w:val="7E576BB9"/>
    <w:rsid w:val="7E6D62A7"/>
    <w:rsid w:val="7EBF007E"/>
    <w:rsid w:val="7EDD7A26"/>
    <w:rsid w:val="7F7026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_x0000_s2050"/>
        <o:r id="V:Rule2" type="connector" idref="#_x0000_s2051"/>
        <o:r id="V:Rule3" type="connector" idref="#_x0000_s2052"/>
        <o:r id="V:Rule4" type="connector"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8">
    <w:name w:val="heading 1"/>
    <w:basedOn w:val="1"/>
    <w:next w:val="1"/>
    <w:link w:val="62"/>
    <w:qFormat/>
    <w:uiPriority w:val="0"/>
    <w:pPr>
      <w:keepNext/>
      <w:keepLines/>
      <w:spacing w:before="340" w:after="330" w:line="576" w:lineRule="auto"/>
      <w:outlineLvl w:val="0"/>
    </w:pPr>
    <w:rPr>
      <w:b/>
      <w:bCs/>
      <w:kern w:val="44"/>
      <w:sz w:val="44"/>
      <w:szCs w:val="44"/>
    </w:rPr>
  </w:style>
  <w:style w:type="paragraph" w:styleId="19">
    <w:name w:val="heading 2"/>
    <w:basedOn w:val="1"/>
    <w:next w:val="1"/>
    <w:link w:val="72"/>
    <w:qFormat/>
    <w:uiPriority w:val="0"/>
    <w:pPr>
      <w:keepNext/>
      <w:keepLines/>
      <w:spacing w:before="260" w:after="260" w:line="416" w:lineRule="auto"/>
      <w:outlineLvl w:val="1"/>
    </w:pPr>
    <w:rPr>
      <w:rFonts w:ascii="Cambria" w:hAnsi="Cambria"/>
      <w:b/>
      <w:bCs/>
      <w:kern w:val="0"/>
      <w:sz w:val="32"/>
      <w:szCs w:val="32"/>
    </w:rPr>
  </w:style>
  <w:style w:type="paragraph" w:styleId="16">
    <w:name w:val="heading 3"/>
    <w:basedOn w:val="1"/>
    <w:next w:val="1"/>
    <w:link w:val="68"/>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69"/>
    <w:qFormat/>
    <w:uiPriority w:val="99"/>
    <w:pPr>
      <w:keepNext/>
      <w:keepLines/>
      <w:spacing w:before="280" w:after="290"/>
      <w:outlineLvl w:val="3"/>
    </w:pPr>
    <w:rPr>
      <w:rFonts w:ascii="Arial" w:hAnsi="Arial" w:eastAsia="黑体"/>
      <w:b/>
      <w:bCs/>
      <w:sz w:val="28"/>
      <w:szCs w:val="28"/>
    </w:rPr>
  </w:style>
  <w:style w:type="paragraph" w:styleId="20">
    <w:name w:val="heading 5"/>
    <w:basedOn w:val="1"/>
    <w:next w:val="1"/>
    <w:qFormat/>
    <w:uiPriority w:val="0"/>
    <w:pPr>
      <w:keepNext/>
      <w:adjustRightInd w:val="0"/>
      <w:snapToGrid w:val="0"/>
      <w:spacing w:line="500" w:lineRule="atLeast"/>
      <w:outlineLvl w:val="4"/>
    </w:pPr>
    <w:rPr>
      <w:b/>
      <w:bCs/>
      <w:sz w:val="24"/>
    </w:rPr>
  </w:style>
  <w:style w:type="paragraph" w:styleId="21">
    <w:name w:val="heading 6"/>
    <w:basedOn w:val="1"/>
    <w:next w:val="1"/>
    <w:link w:val="77"/>
    <w:qFormat/>
    <w:uiPriority w:val="0"/>
    <w:pPr>
      <w:keepNext/>
      <w:jc w:val="center"/>
      <w:outlineLvl w:val="5"/>
    </w:pPr>
    <w:rPr>
      <w:rFonts w:ascii="仿宋_GB2312" w:eastAsia="仿宋_GB2312"/>
      <w:sz w:val="28"/>
      <w:szCs w:val="24"/>
    </w:rPr>
  </w:style>
  <w:style w:type="paragraph" w:styleId="22">
    <w:name w:val="heading 7"/>
    <w:basedOn w:val="1"/>
    <w:next w:val="1"/>
    <w:link w:val="78"/>
    <w:qFormat/>
    <w:uiPriority w:val="0"/>
    <w:pPr>
      <w:keepNext/>
      <w:spacing w:line="400" w:lineRule="exact"/>
      <w:ind w:firstLine="980" w:firstLineChars="350"/>
      <w:outlineLvl w:val="6"/>
    </w:pPr>
    <w:rPr>
      <w:rFonts w:ascii="宋体" w:hAnsi="宋体"/>
      <w:bCs/>
      <w:sz w:val="28"/>
      <w:szCs w:val="24"/>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3">
    <w:name w:val="纯文本1"/>
    <w:basedOn w:val="1"/>
    <w:qFormat/>
    <w:uiPriority w:val="0"/>
    <w:pPr>
      <w:adjustRightInd w:val="0"/>
    </w:pPr>
    <w:rPr>
      <w:rFonts w:hint="eastAsia" w:ascii="宋体" w:hAnsi="Courier New"/>
      <w:kern w:val="0"/>
    </w:rPr>
  </w:style>
  <w:style w:type="paragraph" w:customStyle="1" w:styleId="4">
    <w:name w:val="标题4"/>
    <w:basedOn w:val="5"/>
    <w:next w:val="6"/>
    <w:qFormat/>
    <w:uiPriority w:val="0"/>
    <w:pPr>
      <w:spacing w:line="600" w:lineRule="exact"/>
      <w:ind w:firstLine="18"/>
    </w:pPr>
  </w:style>
  <w:style w:type="paragraph" w:customStyle="1" w:styleId="6">
    <w:name w:val="Char1"/>
    <w:basedOn w:val="1"/>
    <w:next w:val="7"/>
    <w:qFormat/>
    <w:uiPriority w:val="0"/>
    <w:pPr>
      <w:widowControl/>
      <w:spacing w:after="160" w:line="240" w:lineRule="exact"/>
      <w:jc w:val="left"/>
    </w:pPr>
    <w:rPr>
      <w:rFonts w:ascii="Calibri" w:hAnsi="Calibri" w:eastAsia="Arial"/>
      <w:sz w:val="24"/>
      <w:szCs w:val="20"/>
      <w:lang w:eastAsia="en-US"/>
    </w:rPr>
  </w:style>
  <w:style w:type="paragraph" w:customStyle="1" w:styleId="7">
    <w:name w:val="Char"/>
    <w:basedOn w:val="8"/>
    <w:next w:val="9"/>
    <w:qFormat/>
    <w:uiPriority w:val="0"/>
    <w:pPr>
      <w:widowControl/>
      <w:spacing w:line="357" w:lineRule="atLeast"/>
      <w:ind w:left="-48"/>
      <w:textAlignment w:val="baseline"/>
    </w:pPr>
  </w:style>
  <w:style w:type="paragraph" w:styleId="8">
    <w:name w:val="Document Map"/>
    <w:basedOn w:val="1"/>
    <w:link w:val="81"/>
    <w:qFormat/>
    <w:uiPriority w:val="0"/>
    <w:rPr>
      <w:rFonts w:ascii="宋体" w:hAnsi="Calibri"/>
      <w:sz w:val="32"/>
      <w:szCs w:val="18"/>
    </w:rPr>
  </w:style>
  <w:style w:type="paragraph" w:customStyle="1" w:styleId="9">
    <w:name w:val="首行缩进加粗"/>
    <w:basedOn w:val="10"/>
    <w:next w:val="11"/>
    <w:qFormat/>
    <w:uiPriority w:val="0"/>
    <w:rPr>
      <w:rFonts w:eastAsia="黑体"/>
      <w:b/>
      <w:bCs/>
      <w:szCs w:val="28"/>
    </w:rPr>
  </w:style>
  <w:style w:type="paragraph" w:customStyle="1" w:styleId="10">
    <w:name w:val="首行缩进"/>
    <w:basedOn w:val="1"/>
    <w:qFormat/>
    <w:uiPriority w:val="0"/>
    <w:pPr>
      <w:ind w:firstLine="561"/>
    </w:pPr>
    <w:rPr>
      <w:rFonts w:ascii="宋体" w:cs="宋体"/>
      <w:szCs w:val="20"/>
    </w:rPr>
  </w:style>
  <w:style w:type="paragraph" w:customStyle="1" w:styleId="11">
    <w:name w:val="四级条标题"/>
    <w:basedOn w:val="12"/>
    <w:next w:val="16"/>
    <w:qFormat/>
    <w:uiPriority w:val="0"/>
    <w:pPr>
      <w:spacing w:before="50" w:after="50"/>
      <w:ind w:firstLine="14"/>
      <w:outlineLvl w:val="5"/>
    </w:pPr>
  </w:style>
  <w:style w:type="paragraph" w:customStyle="1" w:styleId="12">
    <w:name w:val="三级条标题"/>
    <w:basedOn w:val="13"/>
    <w:next w:val="1"/>
    <w:qFormat/>
    <w:uiPriority w:val="0"/>
    <w:pPr>
      <w:numPr>
        <w:ilvl w:val="4"/>
      </w:numPr>
      <w:ind w:left="1080" w:hanging="1080"/>
      <w:outlineLvl w:val="4"/>
    </w:pPr>
  </w:style>
  <w:style w:type="paragraph" w:customStyle="1" w:styleId="13">
    <w:name w:val="二级条标题"/>
    <w:basedOn w:val="14"/>
    <w:next w:val="1"/>
    <w:qFormat/>
    <w:uiPriority w:val="0"/>
    <w:pPr>
      <w:numPr>
        <w:ilvl w:val="3"/>
      </w:numPr>
      <w:ind w:left="720" w:hanging="720"/>
      <w:outlineLvl w:val="3"/>
    </w:pPr>
  </w:style>
  <w:style w:type="paragraph" w:customStyle="1" w:styleId="14">
    <w:name w:val="一级条标题"/>
    <w:basedOn w:val="15"/>
    <w:next w:val="1"/>
    <w:qFormat/>
    <w:uiPriority w:val="0"/>
    <w:pPr>
      <w:numPr>
        <w:ilvl w:val="2"/>
      </w:numPr>
      <w:outlineLvl w:val="2"/>
    </w:pPr>
  </w:style>
  <w:style w:type="paragraph" w:customStyle="1" w:styleId="15">
    <w:name w:val="章标题"/>
    <w:next w:val="1"/>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styleId="17">
    <w:name w:val="macro"/>
    <w:link w:val="9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23">
    <w:name w:val="toc 7"/>
    <w:basedOn w:val="1"/>
    <w:next w:val="1"/>
    <w:qFormat/>
    <w:uiPriority w:val="39"/>
    <w:pPr>
      <w:ind w:left="2520" w:leftChars="1200"/>
    </w:pPr>
  </w:style>
  <w:style w:type="paragraph" w:styleId="24">
    <w:name w:val="Normal Indent"/>
    <w:basedOn w:val="1"/>
    <w:link w:val="63"/>
    <w:qFormat/>
    <w:uiPriority w:val="0"/>
    <w:pPr>
      <w:widowControl/>
      <w:ind w:firstLine="420"/>
      <w:jc w:val="left"/>
    </w:pPr>
    <w:rPr>
      <w:kern w:val="0"/>
      <w:sz w:val="20"/>
      <w:szCs w:val="20"/>
    </w:rPr>
  </w:style>
  <w:style w:type="paragraph" w:styleId="25">
    <w:name w:val="annotation text"/>
    <w:basedOn w:val="1"/>
    <w:link w:val="70"/>
    <w:qFormat/>
    <w:uiPriority w:val="0"/>
    <w:pPr>
      <w:jc w:val="left"/>
    </w:pPr>
  </w:style>
  <w:style w:type="paragraph" w:styleId="26">
    <w:name w:val="Body Text 3"/>
    <w:basedOn w:val="1"/>
    <w:link w:val="101"/>
    <w:qFormat/>
    <w:uiPriority w:val="0"/>
    <w:rPr>
      <w:sz w:val="24"/>
      <w:szCs w:val="24"/>
    </w:rPr>
  </w:style>
  <w:style w:type="paragraph" w:styleId="27">
    <w:name w:val="Body Text"/>
    <w:basedOn w:val="1"/>
    <w:link w:val="67"/>
    <w:qFormat/>
    <w:uiPriority w:val="0"/>
    <w:pPr>
      <w:spacing w:line="360" w:lineRule="auto"/>
      <w:ind w:firstLine="200" w:firstLineChars="200"/>
    </w:pPr>
    <w:rPr>
      <w:sz w:val="24"/>
      <w:szCs w:val="20"/>
    </w:rPr>
  </w:style>
  <w:style w:type="paragraph" w:styleId="28">
    <w:name w:val="Body Text Indent"/>
    <w:basedOn w:val="1"/>
    <w:link w:val="71"/>
    <w:qFormat/>
    <w:uiPriority w:val="0"/>
    <w:pPr>
      <w:adjustRightInd w:val="0"/>
      <w:snapToGrid w:val="0"/>
      <w:spacing w:line="500" w:lineRule="exact"/>
      <w:ind w:firstLine="560" w:firstLineChars="200"/>
    </w:pPr>
    <w:rPr>
      <w:rFonts w:ascii="宋体" w:hAnsi="宋体"/>
      <w:snapToGrid w:val="0"/>
      <w:kern w:val="0"/>
      <w:sz w:val="28"/>
      <w:szCs w:val="20"/>
    </w:rPr>
  </w:style>
  <w:style w:type="paragraph" w:styleId="29">
    <w:name w:val="toc 5"/>
    <w:basedOn w:val="1"/>
    <w:next w:val="1"/>
    <w:qFormat/>
    <w:uiPriority w:val="39"/>
    <w:pPr>
      <w:ind w:left="1680" w:leftChars="800"/>
    </w:pPr>
  </w:style>
  <w:style w:type="paragraph" w:styleId="30">
    <w:name w:val="toc 3"/>
    <w:basedOn w:val="1"/>
    <w:next w:val="1"/>
    <w:qFormat/>
    <w:uiPriority w:val="39"/>
    <w:pPr>
      <w:ind w:left="840" w:leftChars="400"/>
    </w:pPr>
  </w:style>
  <w:style w:type="paragraph" w:styleId="31">
    <w:name w:val="Plain Text"/>
    <w:basedOn w:val="1"/>
    <w:link w:val="84"/>
    <w:qFormat/>
    <w:uiPriority w:val="0"/>
    <w:rPr>
      <w:rFonts w:ascii="宋体" w:hAnsi="Courier New"/>
      <w:szCs w:val="21"/>
    </w:rPr>
  </w:style>
  <w:style w:type="paragraph" w:styleId="32">
    <w:name w:val="toc 8"/>
    <w:basedOn w:val="1"/>
    <w:next w:val="1"/>
    <w:qFormat/>
    <w:uiPriority w:val="39"/>
    <w:pPr>
      <w:ind w:left="2940" w:leftChars="1400"/>
    </w:pPr>
  </w:style>
  <w:style w:type="paragraph" w:styleId="33">
    <w:name w:val="Date"/>
    <w:basedOn w:val="1"/>
    <w:next w:val="1"/>
    <w:link w:val="85"/>
    <w:qFormat/>
    <w:uiPriority w:val="0"/>
    <w:rPr>
      <w:rFonts w:ascii="宋体"/>
      <w:sz w:val="24"/>
      <w:szCs w:val="20"/>
    </w:rPr>
  </w:style>
  <w:style w:type="paragraph" w:styleId="34">
    <w:name w:val="Body Text Indent 2"/>
    <w:basedOn w:val="1"/>
    <w:link w:val="80"/>
    <w:qFormat/>
    <w:uiPriority w:val="0"/>
    <w:pPr>
      <w:spacing w:after="120" w:line="480" w:lineRule="auto"/>
      <w:ind w:left="420" w:leftChars="200"/>
    </w:pPr>
  </w:style>
  <w:style w:type="paragraph" w:styleId="35">
    <w:name w:val="Balloon Text"/>
    <w:basedOn w:val="1"/>
    <w:link w:val="83"/>
    <w:qFormat/>
    <w:uiPriority w:val="0"/>
    <w:rPr>
      <w:sz w:val="18"/>
      <w:szCs w:val="18"/>
    </w:rPr>
  </w:style>
  <w:style w:type="paragraph" w:styleId="36">
    <w:name w:val="footer"/>
    <w:basedOn w:val="1"/>
    <w:link w:val="61"/>
    <w:qFormat/>
    <w:uiPriority w:val="99"/>
    <w:pPr>
      <w:tabs>
        <w:tab w:val="center" w:pos="4153"/>
        <w:tab w:val="right" w:pos="8306"/>
      </w:tabs>
      <w:snapToGrid w:val="0"/>
      <w:jc w:val="left"/>
    </w:pPr>
    <w:rPr>
      <w:kern w:val="0"/>
      <w:sz w:val="18"/>
      <w:szCs w:val="18"/>
    </w:rPr>
  </w:style>
  <w:style w:type="paragraph" w:styleId="37">
    <w:name w:val="header"/>
    <w:basedOn w:val="1"/>
    <w:link w:val="60"/>
    <w:qFormat/>
    <w:uiPriority w:val="0"/>
    <w:pPr>
      <w:pBdr>
        <w:bottom w:val="single" w:color="auto" w:sz="6" w:space="1"/>
      </w:pBdr>
      <w:tabs>
        <w:tab w:val="center" w:pos="4153"/>
        <w:tab w:val="right" w:pos="8306"/>
      </w:tabs>
      <w:snapToGrid w:val="0"/>
      <w:jc w:val="center"/>
    </w:pPr>
    <w:rPr>
      <w:kern w:val="0"/>
      <w:sz w:val="18"/>
      <w:szCs w:val="18"/>
    </w:rPr>
  </w:style>
  <w:style w:type="paragraph" w:styleId="38">
    <w:name w:val="toc 1"/>
    <w:basedOn w:val="1"/>
    <w:next w:val="1"/>
    <w:qFormat/>
    <w:uiPriority w:val="39"/>
  </w:style>
  <w:style w:type="paragraph" w:styleId="39">
    <w:name w:val="toc 4"/>
    <w:basedOn w:val="1"/>
    <w:next w:val="1"/>
    <w:qFormat/>
    <w:uiPriority w:val="39"/>
    <w:pPr>
      <w:ind w:left="1260" w:leftChars="600"/>
    </w:pPr>
  </w:style>
  <w:style w:type="paragraph" w:styleId="40">
    <w:name w:val="index heading"/>
    <w:basedOn w:val="1"/>
    <w:next w:val="41"/>
    <w:qFormat/>
    <w:uiPriority w:val="0"/>
    <w:rPr>
      <w:szCs w:val="24"/>
    </w:rPr>
  </w:style>
  <w:style w:type="paragraph" w:styleId="41">
    <w:name w:val="index 1"/>
    <w:basedOn w:val="1"/>
    <w:next w:val="1"/>
    <w:qFormat/>
    <w:uiPriority w:val="0"/>
  </w:style>
  <w:style w:type="paragraph" w:styleId="42">
    <w:name w:val="List"/>
    <w:basedOn w:val="1"/>
    <w:qFormat/>
    <w:uiPriority w:val="0"/>
    <w:pPr>
      <w:spacing w:line="400" w:lineRule="exact"/>
    </w:pPr>
    <w:rPr>
      <w:rFonts w:ascii="宋体"/>
      <w:sz w:val="28"/>
      <w:szCs w:val="20"/>
    </w:rPr>
  </w:style>
  <w:style w:type="paragraph" w:styleId="43">
    <w:name w:val="toc 6"/>
    <w:basedOn w:val="1"/>
    <w:next w:val="1"/>
    <w:qFormat/>
    <w:uiPriority w:val="39"/>
    <w:pPr>
      <w:ind w:left="2100" w:leftChars="1000"/>
    </w:pPr>
  </w:style>
  <w:style w:type="paragraph" w:styleId="44">
    <w:name w:val="Body Text Indent 3"/>
    <w:basedOn w:val="1"/>
    <w:link w:val="82"/>
    <w:qFormat/>
    <w:uiPriority w:val="0"/>
    <w:pPr>
      <w:spacing w:after="120"/>
      <w:ind w:left="420" w:leftChars="200"/>
    </w:pPr>
    <w:rPr>
      <w:sz w:val="16"/>
      <w:szCs w:val="16"/>
    </w:rPr>
  </w:style>
  <w:style w:type="paragraph" w:styleId="45">
    <w:name w:val="toc 2"/>
    <w:basedOn w:val="1"/>
    <w:next w:val="1"/>
    <w:qFormat/>
    <w:uiPriority w:val="39"/>
    <w:pPr>
      <w:ind w:left="420" w:leftChars="200"/>
    </w:pPr>
  </w:style>
  <w:style w:type="paragraph" w:styleId="46">
    <w:name w:val="toc 9"/>
    <w:basedOn w:val="1"/>
    <w:next w:val="1"/>
    <w:qFormat/>
    <w:uiPriority w:val="39"/>
    <w:pPr>
      <w:ind w:left="3360" w:leftChars="1600"/>
    </w:pPr>
  </w:style>
  <w:style w:type="paragraph" w:styleId="47">
    <w:name w:val="Body Text 2"/>
    <w:basedOn w:val="1"/>
    <w:link w:val="99"/>
    <w:qFormat/>
    <w:uiPriority w:val="0"/>
    <w:pPr>
      <w:jc w:val="center"/>
    </w:pPr>
    <w:rPr>
      <w:sz w:val="24"/>
      <w:szCs w:val="24"/>
    </w:rPr>
  </w:style>
  <w:style w:type="paragraph" w:styleId="48">
    <w:name w:val="Normal (Web)"/>
    <w:basedOn w:val="1"/>
    <w:qFormat/>
    <w:uiPriority w:val="0"/>
    <w:rPr>
      <w:rFonts w:eastAsia="仿宋_GB2312"/>
      <w:sz w:val="24"/>
    </w:rPr>
  </w:style>
  <w:style w:type="paragraph" w:styleId="49">
    <w:name w:val="annotation subject"/>
    <w:basedOn w:val="25"/>
    <w:next w:val="25"/>
    <w:qFormat/>
    <w:uiPriority w:val="0"/>
    <w:rPr>
      <w:b/>
      <w:bCs/>
    </w:rPr>
  </w:style>
  <w:style w:type="paragraph" w:styleId="50">
    <w:name w:val="Body Text First Indent"/>
    <w:basedOn w:val="1"/>
    <w:link w:val="110"/>
    <w:semiHidden/>
    <w:unhideWhenUsed/>
    <w:qFormat/>
    <w:uiPriority w:val="99"/>
    <w:pPr>
      <w:spacing w:after="120" w:line="240" w:lineRule="auto"/>
      <w:ind w:firstLine="420" w:firstLineChars="100"/>
    </w:pPr>
    <w:rPr>
      <w:sz w:val="21"/>
      <w:szCs w:val="22"/>
    </w:rPr>
  </w:style>
  <w:style w:type="paragraph" w:styleId="51">
    <w:name w:val="Body Text First Indent 2"/>
    <w:basedOn w:val="28"/>
    <w:semiHidden/>
    <w:unhideWhenUsed/>
    <w:qFormat/>
    <w:uiPriority w:val="99"/>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5">
    <w:name w:val="Strong"/>
    <w:qFormat/>
    <w:uiPriority w:val="0"/>
    <w:rPr>
      <w:b/>
      <w:bCs/>
    </w:rPr>
  </w:style>
  <w:style w:type="character" w:styleId="56">
    <w:name w:val="page number"/>
    <w:basedOn w:val="54"/>
    <w:qFormat/>
    <w:uiPriority w:val="0"/>
  </w:style>
  <w:style w:type="character" w:styleId="57">
    <w:name w:val="FollowedHyperlink"/>
    <w:qFormat/>
    <w:uiPriority w:val="0"/>
    <w:rPr>
      <w:color w:val="800080"/>
      <w:u w:val="single"/>
    </w:rPr>
  </w:style>
  <w:style w:type="character" w:styleId="58">
    <w:name w:val="Hyperlink"/>
    <w:qFormat/>
    <w:uiPriority w:val="99"/>
    <w:rPr>
      <w:color w:val="0000FF"/>
      <w:u w:val="single"/>
    </w:rPr>
  </w:style>
  <w:style w:type="character" w:styleId="59">
    <w:name w:val="annotation reference"/>
    <w:qFormat/>
    <w:uiPriority w:val="99"/>
    <w:rPr>
      <w:sz w:val="21"/>
      <w:szCs w:val="21"/>
    </w:rPr>
  </w:style>
  <w:style w:type="character" w:customStyle="1" w:styleId="60">
    <w:name w:val="页眉 Char"/>
    <w:link w:val="37"/>
    <w:qFormat/>
    <w:uiPriority w:val="99"/>
    <w:rPr>
      <w:sz w:val="18"/>
      <w:szCs w:val="18"/>
    </w:rPr>
  </w:style>
  <w:style w:type="character" w:customStyle="1" w:styleId="61">
    <w:name w:val="页脚 Char"/>
    <w:link w:val="36"/>
    <w:qFormat/>
    <w:uiPriority w:val="99"/>
    <w:rPr>
      <w:sz w:val="18"/>
      <w:szCs w:val="18"/>
    </w:rPr>
  </w:style>
  <w:style w:type="character" w:customStyle="1" w:styleId="62">
    <w:name w:val="标题 1 Char"/>
    <w:link w:val="18"/>
    <w:qFormat/>
    <w:uiPriority w:val="0"/>
    <w:rPr>
      <w:rFonts w:ascii="Times New Roman" w:hAnsi="Times New Roman" w:eastAsia="宋体" w:cs="Times New Roman"/>
      <w:b/>
      <w:bCs/>
      <w:kern w:val="44"/>
      <w:sz w:val="44"/>
      <w:szCs w:val="44"/>
    </w:rPr>
  </w:style>
  <w:style w:type="character" w:customStyle="1" w:styleId="63">
    <w:name w:val="正文缩进 Char"/>
    <w:link w:val="24"/>
    <w:qFormat/>
    <w:uiPriority w:val="0"/>
  </w:style>
  <w:style w:type="character" w:customStyle="1" w:styleId="64">
    <w:name w:val="正文6"/>
    <w:qFormat/>
    <w:uiPriority w:val="0"/>
    <w:rPr>
      <w:rFonts w:ascii="Times New Roman" w:hAnsi="Times New Roman" w:eastAsia="宋体"/>
      <w:sz w:val="28"/>
      <w:szCs w:val="28"/>
    </w:rPr>
  </w:style>
  <w:style w:type="paragraph" w:styleId="65">
    <w:name w:val="List Paragraph"/>
    <w:basedOn w:val="1"/>
    <w:qFormat/>
    <w:uiPriority w:val="0"/>
    <w:pPr>
      <w:ind w:firstLine="420" w:firstLineChars="200"/>
    </w:pPr>
    <w:rPr>
      <w:rFonts w:ascii="Calibri" w:hAnsi="Calibri"/>
    </w:rPr>
  </w:style>
  <w:style w:type="paragraph" w:customStyle="1" w:styleId="66">
    <w:name w:val="表头"/>
    <w:basedOn w:val="1"/>
    <w:next w:val="1"/>
    <w:qFormat/>
    <w:uiPriority w:val="0"/>
    <w:pPr>
      <w:autoSpaceDE w:val="0"/>
      <w:adjustRightInd w:val="0"/>
      <w:snapToGrid w:val="0"/>
      <w:spacing w:line="360" w:lineRule="auto"/>
      <w:jc w:val="center"/>
      <w:textAlignment w:val="baseline"/>
    </w:pPr>
    <w:rPr>
      <w:rFonts w:ascii="宋体" w:hAnsi="Calibri"/>
      <w:b/>
      <w:snapToGrid w:val="0"/>
      <w:color w:val="000000"/>
      <w:kern w:val="0"/>
      <w:sz w:val="24"/>
    </w:rPr>
  </w:style>
  <w:style w:type="character" w:customStyle="1" w:styleId="67">
    <w:name w:val="正文文本 Char"/>
    <w:link w:val="27"/>
    <w:qFormat/>
    <w:uiPriority w:val="0"/>
    <w:rPr>
      <w:rFonts w:ascii="Times New Roman" w:hAnsi="Times New Roman"/>
      <w:kern w:val="2"/>
      <w:sz w:val="24"/>
    </w:rPr>
  </w:style>
  <w:style w:type="character" w:customStyle="1" w:styleId="68">
    <w:name w:val="标题 3 Char"/>
    <w:link w:val="16"/>
    <w:qFormat/>
    <w:uiPriority w:val="0"/>
    <w:rPr>
      <w:b/>
      <w:bCs/>
      <w:sz w:val="32"/>
      <w:szCs w:val="32"/>
    </w:rPr>
  </w:style>
  <w:style w:type="character" w:customStyle="1" w:styleId="69">
    <w:name w:val="标题 4 Char"/>
    <w:link w:val="5"/>
    <w:qFormat/>
    <w:uiPriority w:val="9"/>
    <w:rPr>
      <w:rFonts w:ascii="Arial" w:hAnsi="Arial" w:eastAsia="黑体"/>
      <w:b/>
      <w:bCs/>
      <w:kern w:val="2"/>
      <w:sz w:val="28"/>
      <w:szCs w:val="28"/>
    </w:rPr>
  </w:style>
  <w:style w:type="character" w:customStyle="1" w:styleId="70">
    <w:name w:val="批注文字 Char"/>
    <w:link w:val="25"/>
    <w:qFormat/>
    <w:uiPriority w:val="0"/>
    <w:rPr>
      <w:kern w:val="2"/>
      <w:sz w:val="21"/>
      <w:szCs w:val="22"/>
    </w:rPr>
  </w:style>
  <w:style w:type="character" w:customStyle="1" w:styleId="71">
    <w:name w:val="正文文本缩进 Char"/>
    <w:link w:val="28"/>
    <w:qFormat/>
    <w:uiPriority w:val="0"/>
    <w:rPr>
      <w:rFonts w:ascii="宋体" w:hAnsi="宋体" w:eastAsia="宋体" w:cs="Times New Roman"/>
      <w:snapToGrid w:val="0"/>
      <w:kern w:val="0"/>
      <w:sz w:val="28"/>
      <w:szCs w:val="20"/>
    </w:rPr>
  </w:style>
  <w:style w:type="character" w:customStyle="1" w:styleId="72">
    <w:name w:val="标题 2 Char"/>
    <w:link w:val="19"/>
    <w:qFormat/>
    <w:uiPriority w:val="0"/>
    <w:rPr>
      <w:rFonts w:ascii="Cambria" w:hAnsi="Cambria" w:eastAsia="宋体" w:cs="Times New Roman"/>
      <w:b/>
      <w:bCs/>
      <w:sz w:val="32"/>
      <w:szCs w:val="32"/>
    </w:rPr>
  </w:style>
  <w:style w:type="character" w:customStyle="1" w:styleId="73">
    <w:name w:val="ttitle1"/>
    <w:qFormat/>
    <w:uiPriority w:val="0"/>
    <w:rPr>
      <w:spacing w:val="120"/>
      <w:sz w:val="21"/>
      <w:szCs w:val="21"/>
    </w:rPr>
  </w:style>
  <w:style w:type="paragraph" w:customStyle="1" w:styleId="74">
    <w:name w:val="样式 宋体 首行缩进:  1.11 厘米"/>
    <w:basedOn w:val="1"/>
    <w:qFormat/>
    <w:uiPriority w:val="0"/>
    <w:pPr>
      <w:spacing w:line="600" w:lineRule="exact"/>
      <w:ind w:firstLine="629" w:firstLineChars="200"/>
    </w:pPr>
    <w:rPr>
      <w:rFonts w:ascii="宋体" w:hAnsi="宋体"/>
      <w:sz w:val="28"/>
      <w:szCs w:val="20"/>
    </w:rPr>
  </w:style>
  <w:style w:type="character" w:customStyle="1" w:styleId="75">
    <w:name w:val="填表5中 Char Char"/>
    <w:link w:val="76"/>
    <w:qFormat/>
    <w:uiPriority w:val="0"/>
    <w:rPr>
      <w:kern w:val="2"/>
      <w:sz w:val="21"/>
      <w:szCs w:val="21"/>
    </w:rPr>
  </w:style>
  <w:style w:type="paragraph" w:customStyle="1" w:styleId="76">
    <w:name w:val="填表5中"/>
    <w:basedOn w:val="1"/>
    <w:next w:val="1"/>
    <w:link w:val="75"/>
    <w:qFormat/>
    <w:uiPriority w:val="0"/>
    <w:pPr>
      <w:jc w:val="center"/>
    </w:pPr>
    <w:rPr>
      <w:szCs w:val="21"/>
    </w:rPr>
  </w:style>
  <w:style w:type="character" w:customStyle="1" w:styleId="77">
    <w:name w:val="标题 6 Char"/>
    <w:link w:val="21"/>
    <w:qFormat/>
    <w:uiPriority w:val="0"/>
    <w:rPr>
      <w:rFonts w:ascii="仿宋_GB2312" w:eastAsia="仿宋_GB2312"/>
      <w:kern w:val="2"/>
      <w:sz w:val="28"/>
      <w:szCs w:val="24"/>
    </w:rPr>
  </w:style>
  <w:style w:type="character" w:customStyle="1" w:styleId="78">
    <w:name w:val="标题 7 Char"/>
    <w:link w:val="22"/>
    <w:qFormat/>
    <w:uiPriority w:val="0"/>
    <w:rPr>
      <w:rFonts w:ascii="宋体" w:hAnsi="宋体"/>
      <w:bCs/>
      <w:kern w:val="2"/>
      <w:sz w:val="28"/>
      <w:szCs w:val="24"/>
    </w:rPr>
  </w:style>
  <w:style w:type="character" w:customStyle="1" w:styleId="79">
    <w:name w:val="标题1"/>
    <w:qFormat/>
    <w:uiPriority w:val="0"/>
    <w:rPr>
      <w:rFonts w:eastAsia="隶书"/>
      <w:b/>
      <w:sz w:val="44"/>
    </w:rPr>
  </w:style>
  <w:style w:type="character" w:customStyle="1" w:styleId="80">
    <w:name w:val="正文文本缩进 2 Char"/>
    <w:basedOn w:val="54"/>
    <w:link w:val="34"/>
    <w:qFormat/>
    <w:uiPriority w:val="0"/>
  </w:style>
  <w:style w:type="character" w:customStyle="1" w:styleId="81">
    <w:name w:val="文档结构图 Char"/>
    <w:link w:val="8"/>
    <w:qFormat/>
    <w:uiPriority w:val="0"/>
    <w:rPr>
      <w:rFonts w:ascii="宋体" w:hAnsi="Calibri" w:eastAsia="宋体"/>
      <w:kern w:val="2"/>
      <w:sz w:val="32"/>
      <w:szCs w:val="18"/>
      <w:lang w:val="en-US" w:eastAsia="zh-CN" w:bidi="ar-SA"/>
    </w:rPr>
  </w:style>
  <w:style w:type="character" w:customStyle="1" w:styleId="82">
    <w:name w:val="正文文本缩进 3 Char"/>
    <w:link w:val="44"/>
    <w:qFormat/>
    <w:uiPriority w:val="0"/>
    <w:rPr>
      <w:kern w:val="2"/>
      <w:sz w:val="16"/>
      <w:szCs w:val="16"/>
    </w:rPr>
  </w:style>
  <w:style w:type="character" w:customStyle="1" w:styleId="83">
    <w:name w:val="批注框文本 Char"/>
    <w:link w:val="35"/>
    <w:qFormat/>
    <w:uiPriority w:val="0"/>
    <w:rPr>
      <w:kern w:val="2"/>
      <w:sz w:val="18"/>
      <w:szCs w:val="18"/>
    </w:rPr>
  </w:style>
  <w:style w:type="character" w:customStyle="1" w:styleId="84">
    <w:name w:val="纯文本 Char"/>
    <w:link w:val="31"/>
    <w:qFormat/>
    <w:uiPriority w:val="0"/>
    <w:rPr>
      <w:rFonts w:ascii="宋体" w:hAnsi="Courier New"/>
      <w:kern w:val="2"/>
      <w:sz w:val="21"/>
      <w:szCs w:val="21"/>
    </w:rPr>
  </w:style>
  <w:style w:type="character" w:customStyle="1" w:styleId="85">
    <w:name w:val="日期 Char"/>
    <w:link w:val="33"/>
    <w:qFormat/>
    <w:uiPriority w:val="0"/>
    <w:rPr>
      <w:rFonts w:ascii="宋体"/>
      <w:kern w:val="2"/>
      <w:sz w:val="24"/>
    </w:rPr>
  </w:style>
  <w:style w:type="paragraph" w:customStyle="1" w:styleId="86">
    <w:name w:val="1.1.1"/>
    <w:basedOn w:val="1"/>
    <w:qFormat/>
    <w:uiPriority w:val="0"/>
    <w:pPr>
      <w:adjustRightInd w:val="0"/>
      <w:jc w:val="left"/>
      <w:textAlignment w:val="baseline"/>
    </w:pPr>
    <w:rPr>
      <w:rFonts w:ascii="宋体"/>
      <w:spacing w:val="10"/>
      <w:sz w:val="24"/>
    </w:rPr>
  </w:style>
  <w:style w:type="paragraph" w:customStyle="1" w:styleId="8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8">
    <w:name w:val="TOC 标题1"/>
    <w:basedOn w:val="18"/>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89">
    <w:name w:val="正文 + 首行缩进"/>
    <w:basedOn w:val="1"/>
    <w:qFormat/>
    <w:uiPriority w:val="0"/>
    <w:pPr>
      <w:spacing w:line="500" w:lineRule="exact"/>
      <w:ind w:firstLine="560" w:firstLineChars="200"/>
    </w:pPr>
    <w:rPr>
      <w:rFonts w:ascii="宋体" w:hAnsi="宋体" w:cs="宋体"/>
      <w:sz w:val="28"/>
      <w:szCs w:val="28"/>
    </w:rPr>
  </w:style>
  <w:style w:type="paragraph" w:customStyle="1" w:styleId="90">
    <w:name w:val="Char Char1 Char Char Char Char Char Char Char Char"/>
    <w:basedOn w:val="1"/>
    <w:qFormat/>
    <w:uiPriority w:val="0"/>
    <w:rPr>
      <w:szCs w:val="24"/>
    </w:rPr>
  </w:style>
  <w:style w:type="paragraph" w:customStyle="1" w:styleId="91">
    <w:name w:val="BIG BOLD"/>
    <w:basedOn w:val="1"/>
    <w:qFormat/>
    <w:uiPriority w:val="0"/>
    <w:pPr>
      <w:tabs>
        <w:tab w:val="left" w:leader="underscore" w:pos="1134"/>
      </w:tabs>
    </w:pPr>
    <w:rPr>
      <w:szCs w:val="20"/>
    </w:rPr>
  </w:style>
  <w:style w:type="paragraph" w:customStyle="1" w:styleId="92">
    <w:name w:val="_Style 7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2"/>
    <w:basedOn w:val="1"/>
    <w:link w:val="94"/>
    <w:qFormat/>
    <w:uiPriority w:val="0"/>
    <w:pPr>
      <w:spacing w:line="500" w:lineRule="exact"/>
      <w:ind w:firstLine="560" w:firstLineChars="200"/>
    </w:pPr>
    <w:rPr>
      <w:rFonts w:cs="宋体"/>
      <w:sz w:val="28"/>
      <w:szCs w:val="28"/>
    </w:rPr>
  </w:style>
  <w:style w:type="character" w:customStyle="1" w:styleId="94">
    <w:name w:val="正文 Char Char"/>
    <w:link w:val="93"/>
    <w:qFormat/>
    <w:uiPriority w:val="0"/>
    <w:rPr>
      <w:rFonts w:cs="宋体"/>
      <w:kern w:val="2"/>
      <w:sz w:val="28"/>
      <w:szCs w:val="28"/>
    </w:rPr>
  </w:style>
  <w:style w:type="character" w:customStyle="1" w:styleId="95">
    <w:name w:val="正文1"/>
    <w:basedOn w:val="54"/>
    <w:qFormat/>
    <w:uiPriority w:val="0"/>
  </w:style>
  <w:style w:type="character" w:customStyle="1" w:styleId="96">
    <w:name w:val="article1"/>
    <w:qFormat/>
    <w:uiPriority w:val="0"/>
    <w:rPr>
      <w:b/>
      <w:bCs/>
      <w:smallCaps/>
      <w:color w:val="FF0000"/>
      <w:sz w:val="43"/>
      <w:szCs w:val="43"/>
    </w:rPr>
  </w:style>
  <w:style w:type="character" w:customStyle="1" w:styleId="97">
    <w:name w:val="宏文本 Char"/>
    <w:link w:val="17"/>
    <w:qFormat/>
    <w:uiPriority w:val="0"/>
    <w:rPr>
      <w:rFonts w:ascii="Courier New" w:hAnsi="Courier New" w:cs="Courier New"/>
      <w:kern w:val="2"/>
      <w:sz w:val="24"/>
      <w:szCs w:val="24"/>
    </w:rPr>
  </w:style>
  <w:style w:type="paragraph" w:customStyle="1" w:styleId="98">
    <w:name w:val="Char Char Char"/>
    <w:basedOn w:val="1"/>
    <w:next w:val="17"/>
    <w:qFormat/>
    <w:uiPriority w:val="0"/>
    <w:rPr>
      <w:sz w:val="28"/>
      <w:szCs w:val="28"/>
    </w:rPr>
  </w:style>
  <w:style w:type="character" w:customStyle="1" w:styleId="99">
    <w:name w:val="正文文本 2 Char"/>
    <w:link w:val="47"/>
    <w:qFormat/>
    <w:uiPriority w:val="0"/>
    <w:rPr>
      <w:kern w:val="2"/>
      <w:sz w:val="24"/>
      <w:szCs w:val="24"/>
    </w:rPr>
  </w:style>
  <w:style w:type="paragraph" w:customStyle="1" w:styleId="100">
    <w:name w:val="xl36"/>
    <w:basedOn w:val="1"/>
    <w:qFormat/>
    <w:uiPriority w:val="0"/>
    <w:pPr>
      <w:widowControl/>
      <w:pBdr>
        <w:left w:val="single" w:color="auto" w:sz="4" w:space="0"/>
        <w:right w:val="single" w:color="auto" w:sz="4" w:space="0"/>
      </w:pBdr>
      <w:spacing w:before="100" w:beforeAutospacing="1" w:after="100" w:afterAutospacing="1"/>
      <w:jc w:val="center"/>
      <w:textAlignment w:val="top"/>
    </w:pPr>
    <w:rPr>
      <w:kern w:val="0"/>
      <w:sz w:val="24"/>
      <w:szCs w:val="24"/>
    </w:rPr>
  </w:style>
  <w:style w:type="character" w:customStyle="1" w:styleId="101">
    <w:name w:val="正文文本 3 Char"/>
    <w:link w:val="26"/>
    <w:qFormat/>
    <w:uiPriority w:val="0"/>
    <w:rPr>
      <w:kern w:val="2"/>
      <w:sz w:val="24"/>
      <w:szCs w:val="24"/>
    </w:rPr>
  </w:style>
  <w:style w:type="paragraph" w:customStyle="1" w:styleId="102">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
    <w:name w:val="Char Char Char1"/>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104">
    <w:name w:val="xl24"/>
    <w:basedOn w:val="1"/>
    <w:qFormat/>
    <w:uiPriority w:val="0"/>
    <w:pPr>
      <w:widowControl/>
      <w:spacing w:before="100" w:beforeAutospacing="1" w:after="100" w:afterAutospacing="1"/>
      <w:jc w:val="left"/>
      <w:textAlignment w:val="center"/>
    </w:pPr>
    <w:rPr>
      <w:rFonts w:ascii="Arial Unicode MS" w:hAnsi="Arial Unicode MS" w:eastAsia="Arial Unicode MS"/>
      <w:b/>
      <w:bCs/>
      <w:color w:val="0000FF"/>
      <w:kern w:val="0"/>
      <w:sz w:val="48"/>
      <w:szCs w:val="48"/>
    </w:rPr>
  </w:style>
  <w:style w:type="paragraph" w:customStyle="1" w:styleId="105">
    <w:name w:val="列出段落1"/>
    <w:basedOn w:val="1"/>
    <w:qFormat/>
    <w:uiPriority w:val="0"/>
    <w:pPr>
      <w:ind w:firstLine="420" w:firstLineChars="200"/>
    </w:pPr>
    <w:rPr>
      <w:szCs w:val="24"/>
    </w:rPr>
  </w:style>
  <w:style w:type="paragraph" w:customStyle="1" w:styleId="106">
    <w:name w:val="font7"/>
    <w:basedOn w:val="1"/>
    <w:qFormat/>
    <w:uiPriority w:val="0"/>
    <w:pPr>
      <w:widowControl/>
      <w:spacing w:before="100" w:beforeAutospacing="1" w:after="100" w:afterAutospacing="1"/>
      <w:jc w:val="left"/>
    </w:pPr>
    <w:rPr>
      <w:rFonts w:hint="eastAsia" w:ascii="宋体" w:hAnsi="宋体"/>
      <w:color w:val="0000FF"/>
      <w:kern w:val="0"/>
      <w:sz w:val="24"/>
      <w:szCs w:val="24"/>
    </w:rPr>
  </w:style>
  <w:style w:type="paragraph" w:customStyle="1" w:styleId="107">
    <w:name w:val="1"/>
    <w:basedOn w:val="1"/>
    <w:next w:val="44"/>
    <w:qFormat/>
    <w:uiPriority w:val="0"/>
    <w:pPr>
      <w:ind w:firstLine="560" w:firstLineChars="200"/>
    </w:pPr>
    <w:rPr>
      <w:rFonts w:ascii="宋体" w:hAnsi="宋体"/>
      <w:sz w:val="28"/>
      <w:szCs w:val="24"/>
    </w:rPr>
  </w:style>
  <w:style w:type="paragraph" w:customStyle="1" w:styleId="108">
    <w:name w:val="xl25"/>
    <w:basedOn w:val="1"/>
    <w:qFormat/>
    <w:uiPriority w:val="0"/>
    <w:pPr>
      <w:widowControl/>
      <w:pBdr>
        <w:bottom w:val="single" w:color="auto" w:sz="4" w:space="0"/>
        <w:right w:val="single" w:color="auto" w:sz="4" w:space="0"/>
      </w:pBdr>
      <w:spacing w:before="100" w:beforeAutospacing="1" w:after="100" w:afterAutospacing="1"/>
    </w:pPr>
    <w:rPr>
      <w:kern w:val="0"/>
      <w:szCs w:val="21"/>
    </w:rPr>
  </w:style>
  <w:style w:type="paragraph" w:customStyle="1" w:styleId="109">
    <w:name w:val="修订1"/>
    <w:qFormat/>
    <w:uiPriority w:val="0"/>
    <w:rPr>
      <w:rFonts w:ascii="Times New Roman" w:hAnsi="Times New Roman" w:eastAsia="宋体" w:cs="Times New Roman"/>
      <w:kern w:val="2"/>
      <w:sz w:val="21"/>
      <w:szCs w:val="24"/>
      <w:lang w:val="en-US" w:eastAsia="zh-CN" w:bidi="ar-SA"/>
    </w:rPr>
  </w:style>
  <w:style w:type="character" w:customStyle="1" w:styleId="110">
    <w:name w:val="正文首行缩进 Char"/>
    <w:basedOn w:val="67"/>
    <w:link w:val="50"/>
    <w:semiHidden/>
    <w:qFormat/>
    <w:uiPriority w:val="99"/>
    <w:rPr>
      <w:rFonts w:ascii="Times New Roman" w:hAnsi="Times New Roman"/>
      <w:kern w:val="2"/>
      <w:sz w:val="21"/>
      <w:szCs w:val="22"/>
    </w:rPr>
  </w:style>
  <w:style w:type="character" w:customStyle="1" w:styleId="111">
    <w:name w:val="正文文本 (2) + 粗体12"/>
    <w:unhideWhenUsed/>
    <w:qFormat/>
    <w:uiPriority w:val="99"/>
    <w:rPr>
      <w:rFonts w:hint="eastAsia" w:ascii="宋体" w:hAnsi="Arial" w:eastAsia="宋体" w:cs="Verdana"/>
      <w:b/>
      <w:kern w:val="0"/>
      <w:sz w:val="20"/>
      <w:lang w:val="en-US" w:eastAsia="en-US"/>
    </w:rPr>
  </w:style>
  <w:style w:type="character" w:customStyle="1" w:styleId="112">
    <w:name w:val="不明显强调1"/>
    <w:qFormat/>
    <w:uiPriority w:val="19"/>
    <w:rPr>
      <w:rFonts w:ascii="宋体" w:hAnsi="宋体" w:eastAsia="宋体"/>
      <w:b/>
      <w:sz w:val="21"/>
      <w:szCs w:val="21"/>
    </w:rPr>
  </w:style>
  <w:style w:type="character" w:customStyle="1" w:styleId="113">
    <w:name w:val="bt21"/>
    <w:basedOn w:val="54"/>
    <w:qFormat/>
    <w:uiPriority w:val="0"/>
    <w:rPr>
      <w:rFonts w:hint="eastAsia" w:ascii="黑体" w:eastAsia="黑体"/>
      <w:sz w:val="24"/>
      <w:szCs w:val="24"/>
    </w:rPr>
  </w:style>
  <w:style w:type="character" w:customStyle="1" w:styleId="114">
    <w:name w:val="zw1"/>
    <w:basedOn w:val="54"/>
    <w:qFormat/>
    <w:uiPriority w:val="0"/>
    <w:rPr>
      <w:rFonts w:hint="eastAsia" w:ascii="宋体" w:hAnsi="宋体" w:eastAsia="宋体"/>
      <w:sz w:val="22"/>
      <w:szCs w:val="22"/>
    </w:rPr>
  </w:style>
  <w:style w:type="character" w:customStyle="1" w:styleId="115">
    <w:name w:val="fontstyle01"/>
    <w:basedOn w:val="54"/>
    <w:qFormat/>
    <w:uiPriority w:val="0"/>
    <w:rPr>
      <w:rFonts w:ascii="黑体" w:hAnsi="宋体" w:eastAsia="黑体" w:cs="黑体"/>
      <w:color w:val="000000"/>
      <w:sz w:val="14"/>
      <w:szCs w:val="14"/>
    </w:rPr>
  </w:style>
  <w:style w:type="paragraph" w:customStyle="1" w:styleId="116">
    <w:name w:val="WPSOffice手动目录 1"/>
    <w:qFormat/>
    <w:uiPriority w:val="0"/>
    <w:rPr>
      <w:rFonts w:ascii="Times New Roman" w:hAnsi="Times New Roman" w:eastAsia="宋体" w:cs="Times New Roman"/>
      <w:lang w:val="en-US" w:eastAsia="zh-CN" w:bidi="ar-SA"/>
    </w:rPr>
  </w:style>
  <w:style w:type="paragraph" w:customStyle="1" w:styleId="11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1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19">
    <w:name w:val="报告正文"/>
    <w:basedOn w:val="1"/>
    <w:qFormat/>
    <w:uiPriority w:val="0"/>
    <w:pPr>
      <w:spacing w:line="500" w:lineRule="exact"/>
      <w:ind w:firstLine="200" w:firstLineChars="200"/>
      <w:jc w:val="left"/>
    </w:pPr>
    <w:rPr>
      <w:rFonts w:eastAsia="仿宋_GB2312"/>
      <w:sz w:val="28"/>
    </w:rPr>
  </w:style>
  <w:style w:type="paragraph" w:customStyle="1" w:styleId="120">
    <w:name w:val="表格标题"/>
    <w:basedOn w:val="1"/>
    <w:next w:val="1"/>
    <w:qFormat/>
    <w:uiPriority w:val="0"/>
    <w:pPr>
      <w:keepNext/>
      <w:widowControl/>
      <w:overflowPunct w:val="0"/>
      <w:adjustRightInd w:val="0"/>
      <w:snapToGrid w:val="0"/>
      <w:spacing w:before="360" w:after="120" w:line="480" w:lineRule="exact"/>
      <w:jc w:val="center"/>
      <w:textAlignment w:val="baseline"/>
    </w:pPr>
    <w:rPr>
      <w:rFonts w:ascii="Arial" w:hAnsi="Arial" w:eastAsia="黑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99a22ba-e97b-4279-8920-dc5cb629b685}"/>
        <w:style w:val=""/>
        <w:category>
          <w:name w:val="常规"/>
          <w:gallery w:val="placeholder"/>
        </w:category>
        <w:types>
          <w:type w:val="bbPlcHdr"/>
        </w:types>
        <w:behaviors>
          <w:behavior w:val="content"/>
        </w:behaviors>
        <w:description w:val=""/>
        <w:guid w:val="{999a22ba-e97b-4279-8920-dc5cb629b685}"/>
      </w:docPartPr>
      <w:docPartBody>
        <w:p>
          <w:r>
            <w:rPr>
              <w:color w:val="808080"/>
            </w:rPr>
            <w:t>单击此处输入文字。</w:t>
          </w:r>
        </w:p>
      </w:docPartBody>
    </w:docPart>
    <w:docPart>
      <w:docPartPr>
        <w:name w:val="{9e1a34fb-4285-47bd-89f9-55874bfdd1e0}"/>
        <w:style w:val=""/>
        <w:category>
          <w:name w:val="常规"/>
          <w:gallery w:val="placeholder"/>
        </w:category>
        <w:types>
          <w:type w:val="bbPlcHdr"/>
        </w:types>
        <w:behaviors>
          <w:behavior w:val="content"/>
        </w:behaviors>
        <w:description w:val=""/>
        <w:guid w:val="{9e1a34fb-4285-47bd-89f9-55874bfdd1e0}"/>
      </w:docPartPr>
      <w:docPartBody>
        <w:p>
          <w:r>
            <w:rPr>
              <w:color w:val="808080"/>
            </w:rPr>
            <w:t>单击此处输入文字。</w:t>
          </w:r>
        </w:p>
      </w:docPartBody>
    </w:docPart>
    <w:docPart>
      <w:docPartPr>
        <w:name w:val="{26c0d151-55eb-4afe-ac07-35d1c6d7ed34}"/>
        <w:style w:val=""/>
        <w:category>
          <w:name w:val="常规"/>
          <w:gallery w:val="placeholder"/>
        </w:category>
        <w:types>
          <w:type w:val="bbPlcHdr"/>
        </w:types>
        <w:behaviors>
          <w:behavior w:val="content"/>
        </w:behaviors>
        <w:description w:val=""/>
        <w:guid w:val="{26c0d151-55eb-4afe-ac07-35d1c6d7ed34}"/>
      </w:docPartPr>
      <w:docPartBody>
        <w:p>
          <w:r>
            <w:rPr>
              <w:color w:val="808080"/>
            </w:rPr>
            <w:t>单击此处输入文字。</w:t>
          </w:r>
        </w:p>
      </w:docPartBody>
    </w:docPart>
    <w:docPart>
      <w:docPartPr>
        <w:name w:val="{7b80562b-5179-4e6a-a5bf-0d217b34b662}"/>
        <w:style w:val=""/>
        <w:category>
          <w:name w:val="常规"/>
          <w:gallery w:val="placeholder"/>
        </w:category>
        <w:types>
          <w:type w:val="bbPlcHdr"/>
        </w:types>
        <w:behaviors>
          <w:behavior w:val="content"/>
        </w:behaviors>
        <w:description w:val=""/>
        <w:guid w:val="{7b80562b-5179-4e6a-a5bf-0d217b34b662}"/>
      </w:docPartPr>
      <w:docPartBody>
        <w:p>
          <w:r>
            <w:rPr>
              <w:color w:val="808080"/>
            </w:rPr>
            <w:t>单击此处输入文字。</w:t>
          </w:r>
        </w:p>
      </w:docPartBody>
    </w:docPart>
    <w:docPart>
      <w:docPartPr>
        <w:name w:val="{c53a6d96-d267-4533-93ea-00332c86fe4a}"/>
        <w:style w:val=""/>
        <w:category>
          <w:name w:val="常规"/>
          <w:gallery w:val="placeholder"/>
        </w:category>
        <w:types>
          <w:type w:val="bbPlcHdr"/>
        </w:types>
        <w:behaviors>
          <w:behavior w:val="content"/>
        </w:behaviors>
        <w:description w:val=""/>
        <w:guid w:val="{c53a6d96-d267-4533-93ea-00332c86fe4a}"/>
      </w:docPartPr>
      <w:docPartBody>
        <w:p>
          <w:r>
            <w:rPr>
              <w:color w:val="808080"/>
            </w:rPr>
            <w:t>单击此处输入文字。</w:t>
          </w:r>
        </w:p>
      </w:docPartBody>
    </w:docPart>
    <w:docPart>
      <w:docPartPr>
        <w:name w:val="{dd78e9ae-41c5-424e-98ee-3fe11592d1ad}"/>
        <w:style w:val=""/>
        <w:category>
          <w:name w:val="常规"/>
          <w:gallery w:val="placeholder"/>
        </w:category>
        <w:types>
          <w:type w:val="bbPlcHdr"/>
        </w:types>
        <w:behaviors>
          <w:behavior w:val="content"/>
        </w:behaviors>
        <w:description w:val=""/>
        <w:guid w:val="{dd78e9ae-41c5-424e-98ee-3fe11592d1ad}"/>
      </w:docPartPr>
      <w:docPartBody>
        <w:p>
          <w:r>
            <w:rPr>
              <w:color w:val="808080"/>
            </w:rPr>
            <w:t>单击此处输入文字。</w:t>
          </w:r>
        </w:p>
      </w:docPartBody>
    </w:docPart>
    <w:docPart>
      <w:docPartPr>
        <w:name w:val="{97693941-3473-4474-9562-553e03051d26}"/>
        <w:style w:val=""/>
        <w:category>
          <w:name w:val="常规"/>
          <w:gallery w:val="placeholder"/>
        </w:category>
        <w:types>
          <w:type w:val="bbPlcHdr"/>
        </w:types>
        <w:behaviors>
          <w:behavior w:val="content"/>
        </w:behaviors>
        <w:description w:val=""/>
        <w:guid w:val="{97693941-3473-4474-9562-553e03051d26}"/>
      </w:docPartPr>
      <w:docPartBody>
        <w:p>
          <w:r>
            <w:rPr>
              <w:color w:val="808080"/>
            </w:rPr>
            <w:t>单击此处输入文字。</w:t>
          </w:r>
        </w:p>
      </w:docPartBody>
    </w:docPart>
    <w:docPart>
      <w:docPartPr>
        <w:name w:val="{164d2be3-73fb-4821-8064-3f7a3d948144}"/>
        <w:style w:val=""/>
        <w:category>
          <w:name w:val="常规"/>
          <w:gallery w:val="placeholder"/>
        </w:category>
        <w:types>
          <w:type w:val="bbPlcHdr"/>
        </w:types>
        <w:behaviors>
          <w:behavior w:val="content"/>
        </w:behaviors>
        <w:description w:val=""/>
        <w:guid w:val="{164d2be3-73fb-4821-8064-3f7a3d948144}"/>
      </w:docPartPr>
      <w:docPartBody>
        <w:p>
          <w:r>
            <w:rPr>
              <w:color w:val="808080"/>
            </w:rPr>
            <w:t>单击此处输入文字。</w:t>
          </w:r>
        </w:p>
      </w:docPartBody>
    </w:docPart>
    <w:docPart>
      <w:docPartPr>
        <w:name w:val="{0d58a21b-b661-4beb-8623-1e7798f57d41}"/>
        <w:style w:val=""/>
        <w:category>
          <w:name w:val="常规"/>
          <w:gallery w:val="placeholder"/>
        </w:category>
        <w:types>
          <w:type w:val="bbPlcHdr"/>
        </w:types>
        <w:behaviors>
          <w:behavior w:val="content"/>
        </w:behaviors>
        <w:description w:val=""/>
        <w:guid w:val="{0d58a21b-b661-4beb-8623-1e7798f57d41}"/>
      </w:docPartPr>
      <w:docPartBody>
        <w:p>
          <w:r>
            <w:rPr>
              <w:color w:val="808080"/>
            </w:rPr>
            <w:t>单击此处输入文字。</w:t>
          </w:r>
        </w:p>
      </w:docPartBody>
    </w:docPart>
    <w:docPart>
      <w:docPartPr>
        <w:name w:val="{df50d24c-af9b-48e6-a2e9-a7a05bb38fc4}"/>
        <w:style w:val=""/>
        <w:category>
          <w:name w:val="常规"/>
          <w:gallery w:val="placeholder"/>
        </w:category>
        <w:types>
          <w:type w:val="bbPlcHdr"/>
        </w:types>
        <w:behaviors>
          <w:behavior w:val="content"/>
        </w:behaviors>
        <w:description w:val=""/>
        <w:guid w:val="{df50d24c-af9b-48e6-a2e9-a7a05bb38fc4}"/>
      </w:docPartPr>
      <w:docPartBody>
        <w:p>
          <w:r>
            <w:rPr>
              <w:color w:val="808080"/>
            </w:rPr>
            <w:t>单击此处输入文字。</w:t>
          </w:r>
        </w:p>
      </w:docPartBody>
    </w:docPart>
    <w:docPart>
      <w:docPartPr>
        <w:name w:val="{d1e65922-d6ed-42f7-8f9f-e60479de7fdd}"/>
        <w:style w:val=""/>
        <w:category>
          <w:name w:val="常规"/>
          <w:gallery w:val="placeholder"/>
        </w:category>
        <w:types>
          <w:type w:val="bbPlcHdr"/>
        </w:types>
        <w:behaviors>
          <w:behavior w:val="content"/>
        </w:behaviors>
        <w:description w:val=""/>
        <w:guid w:val="{d1e65922-d6ed-42f7-8f9f-e60479de7fdd}"/>
      </w:docPartPr>
      <w:docPartBody>
        <w:p>
          <w:r>
            <w:rPr>
              <w:color w:val="808080"/>
            </w:rPr>
            <w:t>单击此处输入文字。</w:t>
          </w:r>
        </w:p>
      </w:docPartBody>
    </w:docPart>
    <w:docPart>
      <w:docPartPr>
        <w:name w:val="{67284868-b475-4f4a-a386-4cf2f73cfd06}"/>
        <w:style w:val=""/>
        <w:category>
          <w:name w:val="常规"/>
          <w:gallery w:val="placeholder"/>
        </w:category>
        <w:types>
          <w:type w:val="bbPlcHdr"/>
        </w:types>
        <w:behaviors>
          <w:behavior w:val="content"/>
        </w:behaviors>
        <w:description w:val=""/>
        <w:guid w:val="{67284868-b475-4f4a-a386-4cf2f73cfd06}"/>
      </w:docPartPr>
      <w:docPartBody>
        <w:p>
          <w:r>
            <w:rPr>
              <w:color w:val="808080"/>
            </w:rPr>
            <w:t>单击此处输入文字。</w:t>
          </w:r>
        </w:p>
      </w:docPartBody>
    </w:docPart>
    <w:docPart>
      <w:docPartPr>
        <w:name w:val="{aabf606f-92d4-4035-bb5a-7b0e77f80ada}"/>
        <w:style w:val=""/>
        <w:category>
          <w:name w:val="常规"/>
          <w:gallery w:val="placeholder"/>
        </w:category>
        <w:types>
          <w:type w:val="bbPlcHdr"/>
        </w:types>
        <w:behaviors>
          <w:behavior w:val="content"/>
        </w:behaviors>
        <w:description w:val=""/>
        <w:guid w:val="{aabf606f-92d4-4035-bb5a-7b0e77f80ada}"/>
      </w:docPartPr>
      <w:docPartBody>
        <w:p>
          <w:r>
            <w:rPr>
              <w:color w:val="808080"/>
            </w:rPr>
            <w:t>单击此处输入文字。</w:t>
          </w:r>
        </w:p>
      </w:docPartBody>
    </w:docPart>
    <w:docPart>
      <w:docPartPr>
        <w:name w:val="{df9a697c-6229-4d4c-9e20-011f01093a61}"/>
        <w:style w:val=""/>
        <w:category>
          <w:name w:val="常规"/>
          <w:gallery w:val="placeholder"/>
        </w:category>
        <w:types>
          <w:type w:val="bbPlcHdr"/>
        </w:types>
        <w:behaviors>
          <w:behavior w:val="content"/>
        </w:behaviors>
        <w:description w:val=""/>
        <w:guid w:val="{df9a697c-6229-4d4c-9e20-011f01093a61}"/>
      </w:docPartPr>
      <w:docPartBody>
        <w:p>
          <w:r>
            <w:rPr>
              <w:color w:val="808080"/>
            </w:rPr>
            <w:t>单击此处输入文字。</w:t>
          </w:r>
        </w:p>
      </w:docPartBody>
    </w:docPart>
    <w:docPart>
      <w:docPartPr>
        <w:name w:val="{fb82c5af-ea28-463c-ac57-c0416cd343ee}"/>
        <w:style w:val=""/>
        <w:category>
          <w:name w:val="常规"/>
          <w:gallery w:val="placeholder"/>
        </w:category>
        <w:types>
          <w:type w:val="bbPlcHdr"/>
        </w:types>
        <w:behaviors>
          <w:behavior w:val="content"/>
        </w:behaviors>
        <w:description w:val=""/>
        <w:guid w:val="{fb82c5af-ea28-463c-ac57-c0416cd343ee}"/>
      </w:docPartPr>
      <w:docPartBody>
        <w:p>
          <w:r>
            <w:rPr>
              <w:color w:val="808080"/>
            </w:rPr>
            <w:t>单击此处输入文字。</w:t>
          </w:r>
        </w:p>
      </w:docPartBody>
    </w:docPart>
    <w:docPart>
      <w:docPartPr>
        <w:name w:val="{b937a903-ed5b-4d20-9e19-a6952c5a2c89}"/>
        <w:style w:val=""/>
        <w:category>
          <w:name w:val="常规"/>
          <w:gallery w:val="placeholder"/>
        </w:category>
        <w:types>
          <w:type w:val="bbPlcHdr"/>
        </w:types>
        <w:behaviors>
          <w:behavior w:val="content"/>
        </w:behaviors>
        <w:description w:val=""/>
        <w:guid w:val="{b937a903-ed5b-4d20-9e19-a6952c5a2c89}"/>
      </w:docPartPr>
      <w:docPartBody>
        <w:p>
          <w:r>
            <w:rPr>
              <w:color w:val="808080"/>
            </w:rPr>
            <w:t>单击此处输入文字。</w:t>
          </w:r>
        </w:p>
      </w:docPartBody>
    </w:docPart>
    <w:docPart>
      <w:docPartPr>
        <w:name w:val="{b698042f-33ee-4bd5-9926-45c62f1fd62f}"/>
        <w:style w:val=""/>
        <w:category>
          <w:name w:val="常规"/>
          <w:gallery w:val="placeholder"/>
        </w:category>
        <w:types>
          <w:type w:val="bbPlcHdr"/>
        </w:types>
        <w:behaviors>
          <w:behavior w:val="content"/>
        </w:behaviors>
        <w:description w:val=""/>
        <w:guid w:val="{b698042f-33ee-4bd5-9926-45c62f1fd62f}"/>
      </w:docPartPr>
      <w:docPartBody>
        <w:p>
          <w:r>
            <w:rPr>
              <w:color w:val="808080"/>
            </w:rPr>
            <w:t>单击此处输入文字。</w:t>
          </w:r>
        </w:p>
      </w:docPartBody>
    </w:docPart>
    <w:docPart>
      <w:docPartPr>
        <w:name w:val="{0acec32c-52e7-4a18-a9d3-3d4f033b6663}"/>
        <w:style w:val=""/>
        <w:category>
          <w:name w:val="常规"/>
          <w:gallery w:val="placeholder"/>
        </w:category>
        <w:types>
          <w:type w:val="bbPlcHdr"/>
        </w:types>
        <w:behaviors>
          <w:behavior w:val="content"/>
        </w:behaviors>
        <w:description w:val=""/>
        <w:guid w:val="{0acec32c-52e7-4a18-a9d3-3d4f033b6663}"/>
      </w:docPartPr>
      <w:docPartBody>
        <w:p>
          <w:r>
            <w:rPr>
              <w:color w:val="808080"/>
            </w:rPr>
            <w:t>单击此处输入文字。</w:t>
          </w:r>
        </w:p>
      </w:docPartBody>
    </w:docPart>
    <w:docPart>
      <w:docPartPr>
        <w:name w:val="{1f16ca7b-290b-4562-b61e-29186be1340b}"/>
        <w:style w:val=""/>
        <w:category>
          <w:name w:val="常规"/>
          <w:gallery w:val="placeholder"/>
        </w:category>
        <w:types>
          <w:type w:val="bbPlcHdr"/>
        </w:types>
        <w:behaviors>
          <w:behavior w:val="content"/>
        </w:behaviors>
        <w:description w:val=""/>
        <w:guid w:val="{1f16ca7b-290b-4562-b61e-29186be1340b}"/>
      </w:docPartPr>
      <w:docPartBody>
        <w:p>
          <w:r>
            <w:rPr>
              <w:color w:val="808080"/>
            </w:rPr>
            <w:t>单击此处输入文字。</w:t>
          </w:r>
        </w:p>
      </w:docPartBody>
    </w:docPart>
    <w:docPart>
      <w:docPartPr>
        <w:name w:val="{1b54094c-430b-4347-87b8-7e8f69b7503b}"/>
        <w:style w:val=""/>
        <w:category>
          <w:name w:val="常规"/>
          <w:gallery w:val="placeholder"/>
        </w:category>
        <w:types>
          <w:type w:val="bbPlcHdr"/>
        </w:types>
        <w:behaviors>
          <w:behavior w:val="content"/>
        </w:behaviors>
        <w:description w:val=""/>
        <w:guid w:val="{1b54094c-430b-4347-87b8-7e8f69b7503b}"/>
      </w:docPartPr>
      <w:docPartBody>
        <w:p>
          <w:r>
            <w:rPr>
              <w:color w:val="808080"/>
            </w:rPr>
            <w:t>单击此处输入文字。</w:t>
          </w:r>
        </w:p>
      </w:docPartBody>
    </w:docPart>
    <w:docPart>
      <w:docPartPr>
        <w:name w:val="{17a1a929-0eb2-4b16-935f-ef218aa0f370}"/>
        <w:style w:val=""/>
        <w:category>
          <w:name w:val="常规"/>
          <w:gallery w:val="placeholder"/>
        </w:category>
        <w:types>
          <w:type w:val="bbPlcHdr"/>
        </w:types>
        <w:behaviors>
          <w:behavior w:val="content"/>
        </w:behaviors>
        <w:description w:val=""/>
        <w:guid w:val="{17a1a929-0eb2-4b16-935f-ef218aa0f370}"/>
      </w:docPartPr>
      <w:docPartBody>
        <w:p>
          <w:r>
            <w:rPr>
              <w:color w:val="808080"/>
            </w:rPr>
            <w:t>单击此处输入文字。</w:t>
          </w:r>
        </w:p>
      </w:docPartBody>
    </w:docPart>
    <w:docPart>
      <w:docPartPr>
        <w:name w:val="{641e9d3e-15e4-44ef-8716-5f585dab84a0}"/>
        <w:style w:val=""/>
        <w:category>
          <w:name w:val="常规"/>
          <w:gallery w:val="placeholder"/>
        </w:category>
        <w:types>
          <w:type w:val="bbPlcHdr"/>
        </w:types>
        <w:behaviors>
          <w:behavior w:val="content"/>
        </w:behaviors>
        <w:description w:val=""/>
        <w:guid w:val="{641e9d3e-15e4-44ef-8716-5f585dab84a0}"/>
      </w:docPartPr>
      <w:docPartBody>
        <w:p>
          <w:r>
            <w:rPr>
              <w:color w:val="808080"/>
            </w:rPr>
            <w:t>单击此处输入文字。</w:t>
          </w:r>
        </w:p>
      </w:docPartBody>
    </w:docPart>
    <w:docPart>
      <w:docPartPr>
        <w:name w:val="{6683fd3a-80ef-4587-bc5c-c31fbb58f1f5}"/>
        <w:style w:val=""/>
        <w:category>
          <w:name w:val="常规"/>
          <w:gallery w:val="placeholder"/>
        </w:category>
        <w:types>
          <w:type w:val="bbPlcHdr"/>
        </w:types>
        <w:behaviors>
          <w:behavior w:val="content"/>
        </w:behaviors>
        <w:description w:val=""/>
        <w:guid w:val="{6683fd3a-80ef-4587-bc5c-c31fbb58f1f5}"/>
      </w:docPartPr>
      <w:docPartBody>
        <w:p>
          <w:r>
            <w:rPr>
              <w:color w:val="808080"/>
            </w:rPr>
            <w:t>单击此处输入文字。</w:t>
          </w:r>
        </w:p>
      </w:docPartBody>
    </w:docPart>
    <w:docPart>
      <w:docPartPr>
        <w:name w:val="{c9ec67fc-9c4c-405c-9085-5ade7713463f}"/>
        <w:style w:val=""/>
        <w:category>
          <w:name w:val="常规"/>
          <w:gallery w:val="placeholder"/>
        </w:category>
        <w:types>
          <w:type w:val="bbPlcHdr"/>
        </w:types>
        <w:behaviors>
          <w:behavior w:val="content"/>
        </w:behaviors>
        <w:description w:val=""/>
        <w:guid w:val="{c9ec67fc-9c4c-405c-9085-5ade7713463f}"/>
      </w:docPartPr>
      <w:docPartBody>
        <w:p>
          <w:r>
            <w:rPr>
              <w:color w:val="808080"/>
            </w:rPr>
            <w:t>单击此处输入文字。</w:t>
          </w:r>
        </w:p>
      </w:docPartBody>
    </w:docPart>
    <w:docPart>
      <w:docPartPr>
        <w:name w:val="{ac10cc88-b409-4eb5-a844-c796ec5ae73a}"/>
        <w:style w:val=""/>
        <w:category>
          <w:name w:val="常规"/>
          <w:gallery w:val="placeholder"/>
        </w:category>
        <w:types>
          <w:type w:val="bbPlcHdr"/>
        </w:types>
        <w:behaviors>
          <w:behavior w:val="content"/>
        </w:behaviors>
        <w:description w:val=""/>
        <w:guid w:val="{ac10cc88-b409-4eb5-a844-c796ec5ae73a}"/>
      </w:docPartPr>
      <w:docPartBody>
        <w:p>
          <w:r>
            <w:rPr>
              <w:color w:val="808080"/>
            </w:rPr>
            <w:t>单击此处输入文字。</w:t>
          </w:r>
        </w:p>
      </w:docPartBody>
    </w:docPart>
    <w:docPart>
      <w:docPartPr>
        <w:name w:val="{082c66a0-be07-42f5-b5b8-bc97a58fdfff}"/>
        <w:style w:val=""/>
        <w:category>
          <w:name w:val="常规"/>
          <w:gallery w:val="placeholder"/>
        </w:category>
        <w:types>
          <w:type w:val="bbPlcHdr"/>
        </w:types>
        <w:behaviors>
          <w:behavior w:val="content"/>
        </w:behaviors>
        <w:description w:val=""/>
        <w:guid w:val="{082c66a0-be07-42f5-b5b8-bc97a58fdfff}"/>
      </w:docPartPr>
      <w:docPartBody>
        <w:p>
          <w:r>
            <w:rPr>
              <w:color w:val="808080"/>
            </w:rPr>
            <w:t>单击此处输入文字。</w:t>
          </w:r>
        </w:p>
      </w:docPartBody>
    </w:docPart>
    <w:docPart>
      <w:docPartPr>
        <w:name w:val="{b9aee985-835c-4563-8ddd-65d60a9f9472}"/>
        <w:style w:val=""/>
        <w:category>
          <w:name w:val="常规"/>
          <w:gallery w:val="placeholder"/>
        </w:category>
        <w:types>
          <w:type w:val="bbPlcHdr"/>
        </w:types>
        <w:behaviors>
          <w:behavior w:val="content"/>
        </w:behaviors>
        <w:description w:val=""/>
        <w:guid w:val="{b9aee985-835c-4563-8ddd-65d60a9f9472}"/>
      </w:docPartPr>
      <w:docPartBody>
        <w:p>
          <w:r>
            <w:rPr>
              <w:color w:val="808080"/>
            </w:rPr>
            <w:t>单击此处输入文字。</w:t>
          </w:r>
        </w:p>
      </w:docPartBody>
    </w:docPart>
    <w:docPart>
      <w:docPartPr>
        <w:name w:val="{9f7ec017-637a-452b-ba39-5c5edd5caa0e}"/>
        <w:style w:val=""/>
        <w:category>
          <w:name w:val="常规"/>
          <w:gallery w:val="placeholder"/>
        </w:category>
        <w:types>
          <w:type w:val="bbPlcHdr"/>
        </w:types>
        <w:behaviors>
          <w:behavior w:val="content"/>
        </w:behaviors>
        <w:description w:val=""/>
        <w:guid w:val="{9f7ec017-637a-452b-ba39-5c5edd5caa0e}"/>
      </w:docPartPr>
      <w:docPartBody>
        <w:p>
          <w:r>
            <w:rPr>
              <w:color w:val="808080"/>
            </w:rPr>
            <w:t>单击此处输入文字。</w:t>
          </w:r>
        </w:p>
      </w:docPartBody>
    </w:docPart>
    <w:docPart>
      <w:docPartPr>
        <w:name w:val="{fb6392b1-3530-499e-810e-01f5f660e174}"/>
        <w:style w:val=""/>
        <w:category>
          <w:name w:val="常规"/>
          <w:gallery w:val="placeholder"/>
        </w:category>
        <w:types>
          <w:type w:val="bbPlcHdr"/>
        </w:types>
        <w:behaviors>
          <w:behavior w:val="content"/>
        </w:behaviors>
        <w:description w:val=""/>
        <w:guid w:val="{fb6392b1-3530-499e-810e-01f5f660e174}"/>
      </w:docPartPr>
      <w:docPartBody>
        <w:p>
          <w:r>
            <w:rPr>
              <w:color w:val="808080"/>
            </w:rPr>
            <w:t>单击此处输入文字。</w:t>
          </w:r>
        </w:p>
      </w:docPartBody>
    </w:docPart>
    <w:docPart>
      <w:docPartPr>
        <w:name w:val="{5f0308c8-94d2-4b41-9685-3a493aac1cc8}"/>
        <w:style w:val=""/>
        <w:category>
          <w:name w:val="常规"/>
          <w:gallery w:val="placeholder"/>
        </w:category>
        <w:types>
          <w:type w:val="bbPlcHdr"/>
        </w:types>
        <w:behaviors>
          <w:behavior w:val="content"/>
        </w:behaviors>
        <w:description w:val=""/>
        <w:guid w:val="{5f0308c8-94d2-4b41-9685-3a493aac1cc8}"/>
      </w:docPartPr>
      <w:docPartBody>
        <w:p>
          <w:r>
            <w:rPr>
              <w:color w:val="808080"/>
            </w:rPr>
            <w:t>单击此处输入文字。</w:t>
          </w:r>
        </w:p>
      </w:docPartBody>
    </w:docPart>
    <w:docPart>
      <w:docPartPr>
        <w:name w:val="{ad5bc4e9-070d-412c-810b-f2e0ba23d6c7}"/>
        <w:style w:val=""/>
        <w:category>
          <w:name w:val="常规"/>
          <w:gallery w:val="placeholder"/>
        </w:category>
        <w:types>
          <w:type w:val="bbPlcHdr"/>
        </w:types>
        <w:behaviors>
          <w:behavior w:val="content"/>
        </w:behaviors>
        <w:description w:val=""/>
        <w:guid w:val="{ad5bc4e9-070d-412c-810b-f2e0ba23d6c7}"/>
      </w:docPartPr>
      <w:docPartBody>
        <w:p>
          <w:r>
            <w:rPr>
              <w:color w:val="808080"/>
            </w:rPr>
            <w:t>单击此处输入文字。</w:t>
          </w:r>
        </w:p>
      </w:docPartBody>
    </w:docPart>
    <w:docPart>
      <w:docPartPr>
        <w:name w:val="{255db29f-0fda-4636-b5a4-6c35088fcac1}"/>
        <w:style w:val=""/>
        <w:category>
          <w:name w:val="常规"/>
          <w:gallery w:val="placeholder"/>
        </w:category>
        <w:types>
          <w:type w:val="bbPlcHdr"/>
        </w:types>
        <w:behaviors>
          <w:behavior w:val="content"/>
        </w:behaviors>
        <w:description w:val=""/>
        <w:guid w:val="{255db29f-0fda-4636-b5a4-6c35088fcac1}"/>
      </w:docPartPr>
      <w:docPartBody>
        <w:p>
          <w:r>
            <w:rPr>
              <w:color w:val="808080"/>
            </w:rPr>
            <w:t>单击此处输入文字。</w:t>
          </w:r>
        </w:p>
      </w:docPartBody>
    </w:docPart>
    <w:docPart>
      <w:docPartPr>
        <w:name w:val="{b4d1dced-0f70-4148-a997-c55d9cb40a11}"/>
        <w:style w:val=""/>
        <w:category>
          <w:name w:val="常规"/>
          <w:gallery w:val="placeholder"/>
        </w:category>
        <w:types>
          <w:type w:val="bbPlcHdr"/>
        </w:types>
        <w:behaviors>
          <w:behavior w:val="content"/>
        </w:behaviors>
        <w:description w:val=""/>
        <w:guid w:val="{b4d1dced-0f70-4148-a997-c55d9cb40a11}"/>
      </w:docPartPr>
      <w:docPartBody>
        <w:p>
          <w:r>
            <w:rPr>
              <w:color w:val="808080"/>
            </w:rPr>
            <w:t>单击此处输入文字。</w:t>
          </w:r>
        </w:p>
      </w:docPartBody>
    </w:docPart>
    <w:docPart>
      <w:docPartPr>
        <w:name w:val="{5b8cac26-60df-470d-86fe-e8f114f66c1b}"/>
        <w:style w:val=""/>
        <w:category>
          <w:name w:val="常规"/>
          <w:gallery w:val="placeholder"/>
        </w:category>
        <w:types>
          <w:type w:val="bbPlcHdr"/>
        </w:types>
        <w:behaviors>
          <w:behavior w:val="content"/>
        </w:behaviors>
        <w:description w:val=""/>
        <w:guid w:val="{5b8cac26-60df-470d-86fe-e8f114f66c1b}"/>
      </w:docPartPr>
      <w:docPartBody>
        <w:p>
          <w:r>
            <w:rPr>
              <w:color w:val="808080"/>
            </w:rPr>
            <w:t>单击此处输入文字。</w:t>
          </w:r>
        </w:p>
      </w:docPartBody>
    </w:docPart>
    <w:docPart>
      <w:docPartPr>
        <w:name w:val="{9262c514-66ec-47f1-b44c-4239c07fc980}"/>
        <w:style w:val=""/>
        <w:category>
          <w:name w:val="常规"/>
          <w:gallery w:val="placeholder"/>
        </w:category>
        <w:types>
          <w:type w:val="bbPlcHdr"/>
        </w:types>
        <w:behaviors>
          <w:behavior w:val="content"/>
        </w:behaviors>
        <w:description w:val=""/>
        <w:guid w:val="{9262c514-66ec-47f1-b44c-4239c07fc980}"/>
      </w:docPartPr>
      <w:docPartBody>
        <w:p>
          <w:r>
            <w:rPr>
              <w:color w:val="808080"/>
            </w:rPr>
            <w:t>单击此处输入文字。</w:t>
          </w:r>
        </w:p>
      </w:docPartBody>
    </w:docPart>
    <w:docPart>
      <w:docPartPr>
        <w:name w:val="{deea4700-5a29-4a8b-8092-24d0c39a7b56}"/>
        <w:style w:val=""/>
        <w:category>
          <w:name w:val="常规"/>
          <w:gallery w:val="placeholder"/>
        </w:category>
        <w:types>
          <w:type w:val="bbPlcHdr"/>
        </w:types>
        <w:behaviors>
          <w:behavior w:val="content"/>
        </w:behaviors>
        <w:description w:val=""/>
        <w:guid w:val="{deea4700-5a29-4a8b-8092-24d0c39a7b56}"/>
      </w:docPartPr>
      <w:docPartBody>
        <w:p>
          <w:r>
            <w:rPr>
              <w:color w:val="808080"/>
            </w:rPr>
            <w:t>单击此处输入文字。</w:t>
          </w:r>
        </w:p>
      </w:docPartBody>
    </w:docPart>
    <w:docPart>
      <w:docPartPr>
        <w:name w:val="{b860e7eb-7a46-4897-b64b-408828c109f0}"/>
        <w:style w:val=""/>
        <w:category>
          <w:name w:val="常规"/>
          <w:gallery w:val="placeholder"/>
        </w:category>
        <w:types>
          <w:type w:val="bbPlcHdr"/>
        </w:types>
        <w:behaviors>
          <w:behavior w:val="content"/>
        </w:behaviors>
        <w:description w:val=""/>
        <w:guid w:val="{b860e7eb-7a46-4897-b64b-408828c109f0}"/>
      </w:docPartPr>
      <w:docPartBody>
        <w:p>
          <w:r>
            <w:rPr>
              <w:color w:val="808080"/>
            </w:rPr>
            <w:t>单击此处输入文字。</w:t>
          </w:r>
        </w:p>
      </w:docPartBody>
    </w:docPart>
    <w:docPart>
      <w:docPartPr>
        <w:name w:val="{41ba9982-1c11-43c1-a040-6ff0c920c622}"/>
        <w:style w:val=""/>
        <w:category>
          <w:name w:val="常规"/>
          <w:gallery w:val="placeholder"/>
        </w:category>
        <w:types>
          <w:type w:val="bbPlcHdr"/>
        </w:types>
        <w:behaviors>
          <w:behavior w:val="content"/>
        </w:behaviors>
        <w:description w:val=""/>
        <w:guid w:val="{41ba9982-1c11-43c1-a040-6ff0c920c622}"/>
      </w:docPartPr>
      <w:docPartBody>
        <w:p>
          <w:r>
            <w:rPr>
              <w:color w:val="808080"/>
            </w:rPr>
            <w:t>单击此处输入文字。</w:t>
          </w:r>
        </w:p>
      </w:docPartBody>
    </w:docPart>
    <w:docPart>
      <w:docPartPr>
        <w:name w:val="{ac8ac763-fdba-49d4-8c32-513e06555e61}"/>
        <w:style w:val=""/>
        <w:category>
          <w:name w:val="常规"/>
          <w:gallery w:val="placeholder"/>
        </w:category>
        <w:types>
          <w:type w:val="bbPlcHdr"/>
        </w:types>
        <w:behaviors>
          <w:behavior w:val="content"/>
        </w:behaviors>
        <w:description w:val=""/>
        <w:guid w:val="{ac8ac763-fdba-49d4-8c32-513e06555e61}"/>
      </w:docPartPr>
      <w:docPartBody>
        <w:p>
          <w:r>
            <w:rPr>
              <w:color w:val="808080"/>
            </w:rPr>
            <w:t>单击此处输入文字。</w:t>
          </w:r>
        </w:p>
      </w:docPartBody>
    </w:docPart>
    <w:docPart>
      <w:docPartPr>
        <w:name w:val="{0245b619-fe18-4dd3-96a8-19ab441e5988}"/>
        <w:style w:val=""/>
        <w:category>
          <w:name w:val="常规"/>
          <w:gallery w:val="placeholder"/>
        </w:category>
        <w:types>
          <w:type w:val="bbPlcHdr"/>
        </w:types>
        <w:behaviors>
          <w:behavior w:val="content"/>
        </w:behaviors>
        <w:description w:val=""/>
        <w:guid w:val="{0245b619-fe18-4dd3-96a8-19ab441e5988}"/>
      </w:docPartPr>
      <w:docPartBody>
        <w:p>
          <w:r>
            <w:rPr>
              <w:color w:val="808080"/>
            </w:rPr>
            <w:t>单击此处输入文字。</w:t>
          </w:r>
        </w:p>
      </w:docPartBody>
    </w:docPart>
    <w:docPart>
      <w:docPartPr>
        <w:name w:val="{9180d87e-f7f8-4cc7-8a57-e7831b16c971}"/>
        <w:style w:val=""/>
        <w:category>
          <w:name w:val="常规"/>
          <w:gallery w:val="placeholder"/>
        </w:category>
        <w:types>
          <w:type w:val="bbPlcHdr"/>
        </w:types>
        <w:behaviors>
          <w:behavior w:val="content"/>
        </w:behaviors>
        <w:description w:val=""/>
        <w:guid w:val="{9180d87e-f7f8-4cc7-8a57-e7831b16c971}"/>
      </w:docPartPr>
      <w:docPartBody>
        <w:p>
          <w:r>
            <w:rPr>
              <w:color w:val="808080"/>
            </w:rPr>
            <w:t>单击此处输入文字。</w:t>
          </w:r>
        </w:p>
      </w:docPartBody>
    </w:docPart>
    <w:docPart>
      <w:docPartPr>
        <w:name w:val="{017d8fc2-5129-4b19-adac-0d6a6962d675}"/>
        <w:style w:val=""/>
        <w:category>
          <w:name w:val="常规"/>
          <w:gallery w:val="placeholder"/>
        </w:category>
        <w:types>
          <w:type w:val="bbPlcHdr"/>
        </w:types>
        <w:behaviors>
          <w:behavior w:val="content"/>
        </w:behaviors>
        <w:description w:val=""/>
        <w:guid w:val="{017d8fc2-5129-4b19-adac-0d6a6962d675}"/>
      </w:docPartPr>
      <w:docPartBody>
        <w:p>
          <w:r>
            <w:rPr>
              <w:color w:val="808080"/>
            </w:rPr>
            <w:t>单击此处输入文字。</w:t>
          </w:r>
        </w:p>
      </w:docPartBody>
    </w:docPart>
    <w:docPart>
      <w:docPartPr>
        <w:name w:val="{4bb58e4f-0fcb-4469-b508-4bb87f35c90e}"/>
        <w:style w:val=""/>
        <w:category>
          <w:name w:val="常规"/>
          <w:gallery w:val="placeholder"/>
        </w:category>
        <w:types>
          <w:type w:val="bbPlcHdr"/>
        </w:types>
        <w:behaviors>
          <w:behavior w:val="content"/>
        </w:behaviors>
        <w:description w:val=""/>
        <w:guid w:val="{4bb58e4f-0fcb-4469-b508-4bb87f35c90e}"/>
      </w:docPartPr>
      <w:docPartBody>
        <w:p>
          <w:r>
            <w:rPr>
              <w:color w:val="808080"/>
            </w:rPr>
            <w:t>单击此处输入文字。</w:t>
          </w:r>
        </w:p>
      </w:docPartBody>
    </w:docPart>
    <w:docPart>
      <w:docPartPr>
        <w:name w:val="{49859e44-1262-4d73-bf41-88d66fd14867}"/>
        <w:style w:val=""/>
        <w:category>
          <w:name w:val="常规"/>
          <w:gallery w:val="placeholder"/>
        </w:category>
        <w:types>
          <w:type w:val="bbPlcHdr"/>
        </w:types>
        <w:behaviors>
          <w:behavior w:val="content"/>
        </w:behaviors>
        <w:description w:val=""/>
        <w:guid w:val="{49859e44-1262-4d73-bf41-88d66fd14867}"/>
      </w:docPartPr>
      <w:docPartBody>
        <w:p>
          <w:r>
            <w:rPr>
              <w:color w:val="808080"/>
            </w:rPr>
            <w:t>单击此处输入文字。</w:t>
          </w:r>
        </w:p>
      </w:docPartBody>
    </w:docPart>
    <w:docPart>
      <w:docPartPr>
        <w:name w:val="{925c9003-e357-4f52-9905-867290824afa}"/>
        <w:style w:val=""/>
        <w:category>
          <w:name w:val="常规"/>
          <w:gallery w:val="placeholder"/>
        </w:category>
        <w:types>
          <w:type w:val="bbPlcHdr"/>
        </w:types>
        <w:behaviors>
          <w:behavior w:val="content"/>
        </w:behaviors>
        <w:description w:val=""/>
        <w:guid w:val="{925c9003-e357-4f52-9905-867290824afa}"/>
      </w:docPartPr>
      <w:docPartBody>
        <w:p>
          <w:r>
            <w:rPr>
              <w:color w:val="808080"/>
            </w:rPr>
            <w:t>单击此处输入文字。</w:t>
          </w:r>
        </w:p>
      </w:docPartBody>
    </w:docPart>
    <w:docPart>
      <w:docPartPr>
        <w:name w:val="{cbcfd82b-9245-41ab-be0e-3b9a48626d0c}"/>
        <w:style w:val=""/>
        <w:category>
          <w:name w:val="常规"/>
          <w:gallery w:val="placeholder"/>
        </w:category>
        <w:types>
          <w:type w:val="bbPlcHdr"/>
        </w:types>
        <w:behaviors>
          <w:behavior w:val="content"/>
        </w:behaviors>
        <w:description w:val=""/>
        <w:guid w:val="{cbcfd82b-9245-41ab-be0e-3b9a48626d0c}"/>
      </w:docPartPr>
      <w:docPartBody>
        <w:p>
          <w:r>
            <w:rPr>
              <w:color w:val="808080"/>
            </w:rPr>
            <w:t>单击此处输入文字。</w:t>
          </w:r>
        </w:p>
      </w:docPartBody>
    </w:docPart>
    <w:docPart>
      <w:docPartPr>
        <w:name w:val="{c9e20936-1026-4839-9ce0-ade7334e05a3}"/>
        <w:style w:val=""/>
        <w:category>
          <w:name w:val="常规"/>
          <w:gallery w:val="placeholder"/>
        </w:category>
        <w:types>
          <w:type w:val="bbPlcHdr"/>
        </w:types>
        <w:behaviors>
          <w:behavior w:val="content"/>
        </w:behaviors>
        <w:description w:val=""/>
        <w:guid w:val="{c9e20936-1026-4839-9ce0-ade7334e05a3}"/>
      </w:docPartPr>
      <w:docPartBody>
        <w:p>
          <w:r>
            <w:rPr>
              <w:color w:val="808080"/>
            </w:rPr>
            <w:t>单击此处输入文字。</w:t>
          </w:r>
        </w:p>
      </w:docPartBody>
    </w:docPart>
    <w:docPart>
      <w:docPartPr>
        <w:name w:val="{d00c686f-66a5-4786-89a1-c61b0ba58e74}"/>
        <w:style w:val=""/>
        <w:category>
          <w:name w:val="常规"/>
          <w:gallery w:val="placeholder"/>
        </w:category>
        <w:types>
          <w:type w:val="bbPlcHdr"/>
        </w:types>
        <w:behaviors>
          <w:behavior w:val="content"/>
        </w:behaviors>
        <w:description w:val=""/>
        <w:guid w:val="{d00c686f-66a5-4786-89a1-c61b0ba58e74}"/>
      </w:docPartPr>
      <w:docPartBody>
        <w:p>
          <w:r>
            <w:rPr>
              <w:color w:val="808080"/>
            </w:rPr>
            <w:t>单击此处输入文字。</w:t>
          </w:r>
        </w:p>
      </w:docPartBody>
    </w:docPart>
    <w:docPart>
      <w:docPartPr>
        <w:name w:val="{affe6660-c66e-46a2-b716-60b9b9b8c9d8}"/>
        <w:style w:val=""/>
        <w:category>
          <w:name w:val="常规"/>
          <w:gallery w:val="placeholder"/>
        </w:category>
        <w:types>
          <w:type w:val="bbPlcHdr"/>
        </w:types>
        <w:behaviors>
          <w:behavior w:val="content"/>
        </w:behaviors>
        <w:description w:val=""/>
        <w:guid w:val="{affe6660-c66e-46a2-b716-60b9b9b8c9d8}"/>
      </w:docPartPr>
      <w:docPartBody>
        <w:p>
          <w:r>
            <w:rPr>
              <w:color w:val="808080"/>
            </w:rPr>
            <w:t>单击此处输入文字。</w:t>
          </w:r>
        </w:p>
      </w:docPartBody>
    </w:docPart>
    <w:docPart>
      <w:docPartPr>
        <w:name w:val="{b6c12a83-2dae-4128-a7be-1bc808efeae4}"/>
        <w:style w:val=""/>
        <w:category>
          <w:name w:val="常规"/>
          <w:gallery w:val="placeholder"/>
        </w:category>
        <w:types>
          <w:type w:val="bbPlcHdr"/>
        </w:types>
        <w:behaviors>
          <w:behavior w:val="content"/>
        </w:behaviors>
        <w:description w:val=""/>
        <w:guid w:val="{b6c12a83-2dae-4128-a7be-1bc808efeae4}"/>
      </w:docPartPr>
      <w:docPartBody>
        <w:p>
          <w:r>
            <w:rPr>
              <w:color w:val="808080"/>
            </w:rPr>
            <w:t>单击此处输入文字。</w:t>
          </w:r>
        </w:p>
      </w:docPartBody>
    </w:docPart>
    <w:docPart>
      <w:docPartPr>
        <w:name w:val="{67bbb086-cf41-49d7-9f25-23ff304f937f}"/>
        <w:style w:val=""/>
        <w:category>
          <w:name w:val="常规"/>
          <w:gallery w:val="placeholder"/>
        </w:category>
        <w:types>
          <w:type w:val="bbPlcHdr"/>
        </w:types>
        <w:behaviors>
          <w:behavior w:val="content"/>
        </w:behaviors>
        <w:description w:val=""/>
        <w:guid w:val="{67bbb086-cf41-49d7-9f25-23ff304f937f}"/>
      </w:docPartPr>
      <w:docPartBody>
        <w:p>
          <w:r>
            <w:rPr>
              <w:color w:val="808080"/>
            </w:rPr>
            <w:t>单击此处输入文字。</w:t>
          </w:r>
        </w:p>
      </w:docPartBody>
    </w:docPart>
    <w:docPart>
      <w:docPartPr>
        <w:name w:val="{318c9d21-5b96-4809-b63c-7d01fcef0499}"/>
        <w:style w:val=""/>
        <w:category>
          <w:name w:val="常规"/>
          <w:gallery w:val="placeholder"/>
        </w:category>
        <w:types>
          <w:type w:val="bbPlcHdr"/>
        </w:types>
        <w:behaviors>
          <w:behavior w:val="content"/>
        </w:behaviors>
        <w:description w:val=""/>
        <w:guid w:val="{318c9d21-5b96-4809-b63c-7d01fcef0499}"/>
      </w:docPartPr>
      <w:docPartBody>
        <w:p>
          <w:r>
            <w:rPr>
              <w:color w:val="808080"/>
            </w:rPr>
            <w:t>单击此处输入文字。</w:t>
          </w:r>
        </w:p>
      </w:docPartBody>
    </w:docPart>
    <w:docPart>
      <w:docPartPr>
        <w:name w:val="{f7e50a42-fdd6-49f4-89d2-77067483fe1c}"/>
        <w:style w:val=""/>
        <w:category>
          <w:name w:val="常规"/>
          <w:gallery w:val="placeholder"/>
        </w:category>
        <w:types>
          <w:type w:val="bbPlcHdr"/>
        </w:types>
        <w:behaviors>
          <w:behavior w:val="content"/>
        </w:behaviors>
        <w:description w:val=""/>
        <w:guid w:val="{f7e50a42-fdd6-49f4-89d2-77067483fe1c}"/>
      </w:docPartPr>
      <w:docPartBody>
        <w:p>
          <w:r>
            <w:rPr>
              <w:color w:val="808080"/>
            </w:rPr>
            <w:t>单击此处输入文字。</w:t>
          </w:r>
        </w:p>
      </w:docPartBody>
    </w:docPart>
    <w:docPart>
      <w:docPartPr>
        <w:name w:val="{f3ea3ebf-dd4f-4a69-b9b1-caa6226037aa}"/>
        <w:style w:val=""/>
        <w:category>
          <w:name w:val="常规"/>
          <w:gallery w:val="placeholder"/>
        </w:category>
        <w:types>
          <w:type w:val="bbPlcHdr"/>
        </w:types>
        <w:behaviors>
          <w:behavior w:val="content"/>
        </w:behaviors>
        <w:description w:val=""/>
        <w:guid w:val="{f3ea3ebf-dd4f-4a69-b9b1-caa6226037aa}"/>
      </w:docPartPr>
      <w:docPartBody>
        <w:p>
          <w:r>
            <w:rPr>
              <w:color w:val="808080"/>
            </w:rPr>
            <w:t>单击此处输入文字。</w:t>
          </w:r>
        </w:p>
      </w:docPartBody>
    </w:docPart>
    <w:docPart>
      <w:docPartPr>
        <w:name w:val="{20545215-c490-443a-a5cb-678407a0126f}"/>
        <w:style w:val=""/>
        <w:category>
          <w:name w:val="常规"/>
          <w:gallery w:val="placeholder"/>
        </w:category>
        <w:types>
          <w:type w:val="bbPlcHdr"/>
        </w:types>
        <w:behaviors>
          <w:behavior w:val="content"/>
        </w:behaviors>
        <w:description w:val=""/>
        <w:guid w:val="{20545215-c490-443a-a5cb-678407a0126f}"/>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2"/>
  </w:compat>
  <w:rsids>
    <w:rsidRoot w:val="00F2545A"/>
    <w:rsid w:val="001A62D3"/>
    <w:rsid w:val="0093003E"/>
    <w:rsid w:val="00D200F9"/>
    <w:rsid w:val="00F254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2063"/>
    <customShpInfo spid="_x0000_s1026"/>
    <customShpInfo spid="_x0000_s2054"/>
    <customShpInfo spid="_x0000_s2053"/>
    <customShpInfo spid="_x0000_s2052"/>
    <customShpInfo spid="_x0000_s2051"/>
    <customShpInfo spid="_x0000_s2050"/>
    <customShpInfo spid="_x0000_s2058"/>
    <customShpInfo spid="_x0000_s2059"/>
    <customShpInfo spid="_x0000_s2060"/>
    <customShpInfo spid="_x0000_s2061"/>
    <customShpInfo spid="_x0000_s206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11F26B-3191-49C2-9BF3-BCE2381CF081}">
  <ds:schemaRefs/>
</ds:datastoreItem>
</file>

<file path=docProps/app.xml><?xml version="1.0" encoding="utf-8"?>
<Properties xmlns="http://schemas.openxmlformats.org/officeDocument/2006/extended-properties" xmlns:vt="http://schemas.openxmlformats.org/officeDocument/2006/docPropsVTypes">
  <Template>Normal</Template>
  <Company>1234</Company>
  <Pages>110</Pages>
  <Words>11364</Words>
  <Characters>13120</Characters>
  <Lines>544</Lines>
  <Paragraphs>153</Paragraphs>
  <TotalTime>1302</TotalTime>
  <ScaleCrop>false</ScaleCrop>
  <LinksUpToDate>false</LinksUpToDate>
  <CharactersWithSpaces>13365</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2021-11-30T09:03:00Z</dcterms:created>
  <dc:creator>sys</dc:creator>
  <cp:lastModifiedBy>木木</cp:lastModifiedBy>
  <cp:lastPrinted>2025-07-22T09:24:57Z</cp:lastPrinted>
  <dcterms:modified xsi:type="dcterms:W3CDTF">2025-07-23T07:06:51Z</dcterms:modified>
  <dc:title>编号：YNJXAP（WHP）-2013-XZ006</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81458D275A95430E94E37433160E014A</vt:lpwstr>
  </property>
  <property fmtid="{D5CDD505-2E9C-101B-9397-08002B2CF9AE}" pid="4" name="KSOTemplateDocerSaveRecord">
    <vt:lpwstr>eyJoZGlkIjoiYmU1MWI3MzI3NmZiZGNjMDcxN2M3MDNkNmQ1OWQ3YjEifQ==</vt:lpwstr>
  </property>
</Properties>
</file>